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742" w:rsidRPr="00916D36" w:rsidRDefault="00AE0742" w:rsidP="00916D36">
      <w:pPr>
        <w:pStyle w:val="OmniPage7"/>
        <w:tabs>
          <w:tab w:val="left" w:pos="1518"/>
          <w:tab w:val="left" w:pos="8867"/>
          <w:tab w:val="right" w:pos="9587"/>
        </w:tabs>
        <w:spacing w:line="360" w:lineRule="auto"/>
        <w:jc w:val="both"/>
        <w:rPr>
          <w:rFonts w:ascii="Bookman Old Style" w:hAnsi="Bookman Old Style"/>
          <w:b/>
          <w:bCs/>
          <w:sz w:val="26"/>
        </w:rPr>
      </w:pPr>
      <w:bookmarkStart w:id="0" w:name="_GoBack"/>
      <w:bookmarkEnd w:id="0"/>
      <w:r w:rsidRPr="00916D36">
        <w:rPr>
          <w:rFonts w:ascii="Bookman Old Style" w:hAnsi="Bookman Old Style"/>
          <w:b/>
          <w:bCs/>
          <w:sz w:val="26"/>
        </w:rPr>
        <w:t>03.03D</w:t>
      </w:r>
      <w:r w:rsidRPr="00916D36">
        <w:rPr>
          <w:rFonts w:ascii="Bookman Old Style" w:hAnsi="Bookman Old Style"/>
          <w:b/>
          <w:bCs/>
          <w:sz w:val="26"/>
        </w:rPr>
        <w:tab/>
        <w:t>NEGLIGENCE DEFINED – COMMON CARRIER</w:t>
      </w:r>
    </w:p>
    <w:p w:rsidR="00AE0742" w:rsidRDefault="00AE0742" w:rsidP="00916D36">
      <w:pPr>
        <w:pStyle w:val="OmniPage7"/>
        <w:tabs>
          <w:tab w:val="left" w:pos="1518"/>
          <w:tab w:val="left" w:pos="8867"/>
          <w:tab w:val="right" w:pos="9587"/>
        </w:tabs>
        <w:spacing w:line="360" w:lineRule="auto"/>
        <w:jc w:val="both"/>
        <w:rPr>
          <w:rFonts w:ascii="Bookman Old Style" w:hAnsi="Bookman Old Style"/>
          <w:sz w:val="26"/>
        </w:rPr>
      </w:pPr>
    </w:p>
    <w:p w:rsidR="00AE0742" w:rsidRDefault="00366C64" w:rsidP="00916D36">
      <w:pPr>
        <w:pStyle w:val="OmniPage8"/>
        <w:spacing w:line="360" w:lineRule="auto"/>
        <w:jc w:val="both"/>
        <w:rPr>
          <w:rFonts w:ascii="Bookman Old Style" w:hAnsi="Bookman Old Style"/>
          <w:sz w:val="26"/>
        </w:rPr>
      </w:pPr>
      <w:r>
        <w:rPr>
          <w:rFonts w:ascii="Bookman Old Style" w:hAnsi="Bookman Old Style"/>
          <w:sz w:val="26"/>
        </w:rPr>
        <w:t xml:space="preserve">The defendant is a common carrier. </w:t>
      </w:r>
      <w:r w:rsidR="00AE0742">
        <w:rPr>
          <w:rFonts w:ascii="Bookman Old Style" w:hAnsi="Bookman Old Style"/>
          <w:sz w:val="26"/>
        </w:rPr>
        <w:t xml:space="preserve">As a common carrier, the defendant owes a duty of utmost care and the vigilance of a very cautious person toward its passengers. A common carrier is responsible for any, even the slightest negligence, and is required to do all that human care, vigilance, and foresight reasonably can do under all the circumstances.  Failure on the part of a common carrier to meet this standard of care is negligence. </w:t>
      </w:r>
    </w:p>
    <w:p w:rsidR="00AE0742" w:rsidRDefault="00AE0742" w:rsidP="00916D36">
      <w:pPr>
        <w:pStyle w:val="OmniPage8"/>
        <w:spacing w:line="360" w:lineRule="auto"/>
        <w:jc w:val="both"/>
        <w:rPr>
          <w:rFonts w:ascii="Bookman Old Style" w:hAnsi="Bookman Old Style"/>
          <w:sz w:val="26"/>
        </w:rPr>
      </w:pPr>
    </w:p>
    <w:p w:rsidR="00AE0742" w:rsidRDefault="00AE0742" w:rsidP="00916D36">
      <w:pPr>
        <w:pStyle w:val="OmniPage8"/>
        <w:spacing w:line="360" w:lineRule="auto"/>
        <w:jc w:val="both"/>
        <w:rPr>
          <w:rFonts w:ascii="Bookman Old Style" w:hAnsi="Bookman Old Style"/>
          <w:sz w:val="26"/>
        </w:rPr>
      </w:pPr>
      <w:r>
        <w:rPr>
          <w:rFonts w:ascii="Bookman Old Style" w:hAnsi="Bookman Old Style"/>
          <w:sz w:val="26"/>
        </w:rPr>
        <w:t>In this case, you must decide whether the defendant exercised the level of care required of a common carrier under the circumstances.</w:t>
      </w:r>
    </w:p>
    <w:p w:rsidR="00AE0742" w:rsidRDefault="00AE0742" w:rsidP="00916D36">
      <w:pPr>
        <w:jc w:val="both"/>
        <w:rPr>
          <w:rFonts w:ascii="Bookman Old Style" w:hAnsi="Bookman Old Style"/>
          <w:sz w:val="26"/>
        </w:rPr>
      </w:pPr>
    </w:p>
    <w:p w:rsidR="00AE0742" w:rsidRDefault="00916D36" w:rsidP="00916D36">
      <w:pPr>
        <w:pStyle w:val="OmniPage7"/>
        <w:tabs>
          <w:tab w:val="right" w:pos="5609"/>
        </w:tabs>
        <w:spacing w:line="240" w:lineRule="auto"/>
        <w:jc w:val="center"/>
        <w:rPr>
          <w:rFonts w:ascii="Bookman Old Style" w:hAnsi="Bookman Old Style"/>
          <w:sz w:val="26"/>
          <w:u w:val="single"/>
        </w:rPr>
      </w:pPr>
      <w:r>
        <w:rPr>
          <w:rFonts w:ascii="Bookman Old Style" w:hAnsi="Bookman Old Style"/>
          <w:sz w:val="26"/>
          <w:u w:val="single"/>
        </w:rPr>
        <w:t>Direction</w:t>
      </w:r>
      <w:r w:rsidR="00DF3A49">
        <w:rPr>
          <w:rFonts w:ascii="Bookman Old Style" w:hAnsi="Bookman Old Style"/>
          <w:sz w:val="26"/>
          <w:u w:val="single"/>
        </w:rPr>
        <w:t>s</w:t>
      </w:r>
      <w:r>
        <w:rPr>
          <w:rFonts w:ascii="Bookman Old Style" w:hAnsi="Bookman Old Style"/>
          <w:sz w:val="26"/>
          <w:u w:val="single"/>
        </w:rPr>
        <w:t xml:space="preserve"> for Use</w:t>
      </w:r>
    </w:p>
    <w:p w:rsidR="00AE0742" w:rsidRDefault="00AE0742" w:rsidP="00916D36">
      <w:pPr>
        <w:jc w:val="both"/>
        <w:rPr>
          <w:rFonts w:ascii="Bookman Old Style" w:hAnsi="Bookman Old Style"/>
          <w:sz w:val="26"/>
        </w:rPr>
      </w:pPr>
    </w:p>
    <w:p w:rsidR="00AE0742" w:rsidRDefault="00EC0E7B" w:rsidP="00916D36">
      <w:pPr>
        <w:pStyle w:val="OmniPage7"/>
        <w:spacing w:line="240" w:lineRule="auto"/>
        <w:jc w:val="both"/>
        <w:rPr>
          <w:rFonts w:ascii="Bookman Old Style" w:hAnsi="Bookman Old Style"/>
          <w:sz w:val="26"/>
        </w:rPr>
      </w:pPr>
      <w:r>
        <w:rPr>
          <w:rFonts w:ascii="Bookman Old Style" w:hAnsi="Bookman Old Style"/>
          <w:sz w:val="26"/>
        </w:rPr>
        <w:t>I</w:t>
      </w:r>
      <w:r w:rsidR="00AE0742">
        <w:rPr>
          <w:rFonts w:ascii="Bookman Old Style" w:hAnsi="Bookman Old Style"/>
          <w:sz w:val="26"/>
        </w:rPr>
        <w:t xml:space="preserve">f the court determines that the defendant is a common carrier, this instruction must be given instead of the general negligence instruction (Instruction 3.03A). </w:t>
      </w:r>
      <w:r w:rsidR="00AE0742" w:rsidRPr="005D0EEA">
        <w:rPr>
          <w:rFonts w:ascii="Bookman Old Style" w:hAnsi="Bookman Old Style"/>
          <w:i/>
          <w:sz w:val="26"/>
        </w:rPr>
        <w:t>See Widmyer v. Southeast Skyways, Inc</w:t>
      </w:r>
      <w:r w:rsidR="00F96173">
        <w:rPr>
          <w:rFonts w:ascii="Bookman Old Style" w:hAnsi="Bookman Old Style"/>
          <w:sz w:val="26"/>
        </w:rPr>
        <w:t>.</w:t>
      </w:r>
      <w:r w:rsidR="00AE0742">
        <w:rPr>
          <w:rFonts w:ascii="Bookman Old Style" w:hAnsi="Bookman Old Style"/>
          <w:sz w:val="26"/>
        </w:rPr>
        <w:t xml:space="preserve">, 584 P.2d 1 (Alaska 1978)(failure to give a common carrier instruction upon the plaintiff's request constituted plain error); </w:t>
      </w:r>
      <w:r w:rsidR="00AE0742" w:rsidRPr="005D0EEA">
        <w:rPr>
          <w:rFonts w:ascii="Bookman Old Style" w:hAnsi="Bookman Old Style"/>
          <w:i/>
          <w:sz w:val="26"/>
        </w:rPr>
        <w:t>Barrett v. ERA Aviation, Inc</w:t>
      </w:r>
      <w:r w:rsidR="00414E4A">
        <w:rPr>
          <w:rFonts w:ascii="Bookman Old Style" w:hAnsi="Bookman Old Style"/>
          <w:sz w:val="26"/>
        </w:rPr>
        <w:t xml:space="preserve">., 996 P.2d 101 (Alaska </w:t>
      </w:r>
      <w:r w:rsidR="00AE0742">
        <w:rPr>
          <w:rFonts w:ascii="Bookman Old Style" w:hAnsi="Bookman Old Style"/>
          <w:sz w:val="26"/>
        </w:rPr>
        <w:t>2000)(error to give both the general negligence instruction and an instruction on the higher standard of care applicable to common carriers).</w:t>
      </w:r>
    </w:p>
    <w:p w:rsidR="00AE0742" w:rsidRDefault="00AE0742" w:rsidP="00916D36">
      <w:pPr>
        <w:pStyle w:val="OmniPage9"/>
        <w:spacing w:line="240" w:lineRule="auto"/>
        <w:jc w:val="both"/>
        <w:rPr>
          <w:rFonts w:ascii="Bookman Old Style" w:hAnsi="Bookman Old Style"/>
          <w:sz w:val="26"/>
        </w:rPr>
      </w:pPr>
    </w:p>
    <w:p w:rsidR="00AE0742" w:rsidRDefault="00AE0742" w:rsidP="00916D36">
      <w:pPr>
        <w:pStyle w:val="OmniPage9"/>
        <w:spacing w:line="240" w:lineRule="auto"/>
        <w:jc w:val="center"/>
        <w:rPr>
          <w:rFonts w:ascii="Bookman Old Style" w:hAnsi="Bookman Old Style"/>
          <w:sz w:val="26"/>
          <w:u w:val="single"/>
        </w:rPr>
      </w:pPr>
      <w:r>
        <w:rPr>
          <w:rFonts w:ascii="Bookman Old Style" w:hAnsi="Bookman Old Style"/>
          <w:sz w:val="26"/>
          <w:u w:val="single"/>
        </w:rPr>
        <w:t>Comment</w:t>
      </w:r>
    </w:p>
    <w:p w:rsidR="00AE0742" w:rsidRDefault="00AE0742" w:rsidP="00916D36">
      <w:pPr>
        <w:pStyle w:val="OmniPage9"/>
        <w:spacing w:line="240" w:lineRule="auto"/>
        <w:jc w:val="both"/>
        <w:rPr>
          <w:rFonts w:ascii="Bookman Old Style" w:hAnsi="Bookman Old Style"/>
          <w:sz w:val="26"/>
        </w:rPr>
      </w:pPr>
    </w:p>
    <w:p w:rsidR="00AE0742" w:rsidRDefault="00AE0742" w:rsidP="00916D36">
      <w:pPr>
        <w:pStyle w:val="OmniPage9"/>
        <w:spacing w:line="240" w:lineRule="auto"/>
        <w:jc w:val="both"/>
        <w:rPr>
          <w:rFonts w:ascii="Bookman Old Style" w:hAnsi="Bookman Old Style"/>
          <w:sz w:val="26"/>
        </w:rPr>
      </w:pPr>
      <w:r>
        <w:rPr>
          <w:rFonts w:ascii="Bookman Old Style" w:hAnsi="Bookman Old Style"/>
          <w:sz w:val="26"/>
        </w:rPr>
        <w:t xml:space="preserve">This instruction is based on the instruction proposed by the plaintiffs in </w:t>
      </w:r>
      <w:r w:rsidRPr="005D0EEA">
        <w:rPr>
          <w:rFonts w:ascii="Bookman Old Style" w:hAnsi="Bookman Old Style"/>
          <w:i/>
          <w:sz w:val="26"/>
        </w:rPr>
        <w:t>Widmyer v. Southeast Skyways, Inc.</w:t>
      </w:r>
      <w:r>
        <w:rPr>
          <w:rFonts w:ascii="Bookman Old Style" w:hAnsi="Bookman Old Style"/>
          <w:sz w:val="26"/>
        </w:rPr>
        <w:t>, 584 P.2d 1 (</w:t>
      </w:r>
      <w:smartTag w:uri="urn:schemas-microsoft-com:office:smarttags" w:element="State">
        <w:smartTag w:uri="urn:schemas-microsoft-com:office:smarttags" w:element="place">
          <w:r>
            <w:rPr>
              <w:rFonts w:ascii="Bookman Old Style" w:hAnsi="Bookman Old Style"/>
              <w:sz w:val="26"/>
            </w:rPr>
            <w:t>Alaska</w:t>
          </w:r>
        </w:smartTag>
      </w:smartTag>
      <w:r>
        <w:rPr>
          <w:rFonts w:ascii="Bookman Old Style" w:hAnsi="Bookman Old Style"/>
          <w:sz w:val="26"/>
        </w:rPr>
        <w:t xml:space="preserve"> 1978). The supreme court noted that the proposed instruction was in accord with pre-statehood </w:t>
      </w:r>
      <w:smartTag w:uri="urn:schemas-microsoft-com:office:smarttags" w:element="State">
        <w:smartTag w:uri="urn:schemas-microsoft-com:office:smarttags" w:element="place">
          <w:r>
            <w:rPr>
              <w:rFonts w:ascii="Bookman Old Style" w:hAnsi="Bookman Old Style"/>
              <w:sz w:val="26"/>
            </w:rPr>
            <w:t>Alaska</w:t>
          </w:r>
        </w:smartTag>
      </w:smartTag>
      <w:r>
        <w:rPr>
          <w:rFonts w:ascii="Bookman Old Style" w:hAnsi="Bookman Old Style"/>
          <w:sz w:val="26"/>
        </w:rPr>
        <w:t xml:space="preserve"> law.  </w:t>
      </w:r>
      <w:smartTag w:uri="urn:schemas-microsoft-com:office:smarttags" w:element="State">
        <w:smartTag w:uri="urn:schemas-microsoft-com:office:smarttags" w:element="place">
          <w:r w:rsidRPr="005D0EEA">
            <w:rPr>
              <w:rFonts w:ascii="Bookman Old Style" w:hAnsi="Bookman Old Style"/>
              <w:i/>
              <w:sz w:val="26"/>
            </w:rPr>
            <w:t>Id</w:t>
          </w:r>
          <w:r>
            <w:rPr>
              <w:rFonts w:ascii="Bookman Old Style" w:hAnsi="Bookman Old Style"/>
              <w:sz w:val="26"/>
            </w:rPr>
            <w:t>.</w:t>
          </w:r>
        </w:smartTag>
      </w:smartTag>
      <w:r>
        <w:rPr>
          <w:rFonts w:ascii="Bookman Old Style" w:hAnsi="Bookman Old Style"/>
          <w:sz w:val="26"/>
        </w:rPr>
        <w:t xml:space="preserve"> at 6 n.14.  A substantially similar instruction was given in </w:t>
      </w:r>
      <w:r w:rsidRPr="005D0EEA">
        <w:rPr>
          <w:rFonts w:ascii="Bookman Old Style" w:hAnsi="Bookman Old Style"/>
          <w:i/>
          <w:sz w:val="26"/>
        </w:rPr>
        <w:t>Barrett v. ERA Aviation, Inc</w:t>
      </w:r>
      <w:r w:rsidR="00414E4A">
        <w:rPr>
          <w:rFonts w:ascii="Bookman Old Style" w:hAnsi="Bookman Old Style"/>
          <w:sz w:val="26"/>
        </w:rPr>
        <w:t xml:space="preserve">., 996 P.2d 101 (Alaska </w:t>
      </w:r>
      <w:r>
        <w:rPr>
          <w:rFonts w:ascii="Bookman Old Style" w:hAnsi="Bookman Old Style"/>
          <w:sz w:val="26"/>
        </w:rPr>
        <w:t xml:space="preserve">2000). Although the court approved the giving of a common carrier instruction, it did not comment on the language of the instruction. </w:t>
      </w:r>
    </w:p>
    <w:p w:rsidR="00AE0742" w:rsidRDefault="00AE0742" w:rsidP="00916D36">
      <w:pPr>
        <w:jc w:val="both"/>
        <w:rPr>
          <w:rFonts w:ascii="Bookman Old Style" w:hAnsi="Bookman Old Style"/>
          <w:sz w:val="26"/>
        </w:rPr>
      </w:pPr>
    </w:p>
    <w:sectPr w:rsidR="00AE0742" w:rsidSect="00916D36">
      <w:footerReference w:type="default" r:id="rId7"/>
      <w:footerReference w:type="firs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8ED" w:rsidRDefault="004E08ED">
      <w:r>
        <w:separator/>
      </w:r>
    </w:p>
  </w:endnote>
  <w:endnote w:type="continuationSeparator" w:id="0">
    <w:p w:rsidR="004E08ED" w:rsidRDefault="004E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EF" w:rsidRPr="00CA08EF" w:rsidRDefault="00DF3A49" w:rsidP="00916D36">
    <w:pPr>
      <w:pStyle w:val="Footer"/>
      <w:tabs>
        <w:tab w:val="clear" w:pos="8640"/>
        <w:tab w:val="right" w:pos="9360"/>
      </w:tabs>
      <w:rPr>
        <w:rFonts w:ascii="Bookman Old Style" w:hAnsi="Bookman Old Style"/>
        <w:sz w:val="24"/>
        <w:szCs w:val="24"/>
      </w:rPr>
    </w:pPr>
    <w:r>
      <w:rPr>
        <w:rFonts w:ascii="Bookman Old Style" w:hAnsi="Bookman Old Style"/>
        <w:sz w:val="24"/>
        <w:szCs w:val="24"/>
      </w:rPr>
      <w:t>2008</w:t>
    </w:r>
    <w:r w:rsidR="00CA08EF" w:rsidRPr="00CA08EF">
      <w:rPr>
        <w:rFonts w:ascii="Bookman Old Style" w:hAnsi="Bookman Old Style"/>
        <w:sz w:val="24"/>
        <w:szCs w:val="24"/>
      </w:rPr>
      <w:tab/>
    </w:r>
    <w:r w:rsidR="00CA08EF" w:rsidRPr="00CA08EF">
      <w:rPr>
        <w:rFonts w:ascii="Bookman Old Style" w:hAnsi="Bookman Old Style"/>
        <w:sz w:val="24"/>
        <w:szCs w:val="24"/>
      </w:rPr>
      <w:tab/>
      <w:t xml:space="preserve">03.03D - </w:t>
    </w:r>
    <w:r w:rsidR="00CA08EF" w:rsidRPr="00CA08EF">
      <w:rPr>
        <w:rStyle w:val="PageNumber"/>
        <w:rFonts w:ascii="Bookman Old Style" w:hAnsi="Bookman Old Style"/>
        <w:sz w:val="24"/>
        <w:szCs w:val="24"/>
      </w:rPr>
      <w:fldChar w:fldCharType="begin"/>
    </w:r>
    <w:r w:rsidR="00CA08EF" w:rsidRPr="00CA08EF">
      <w:rPr>
        <w:rStyle w:val="PageNumber"/>
        <w:rFonts w:ascii="Bookman Old Style" w:hAnsi="Bookman Old Style"/>
        <w:sz w:val="24"/>
        <w:szCs w:val="24"/>
      </w:rPr>
      <w:instrText xml:space="preserve"> PAGE </w:instrText>
    </w:r>
    <w:r w:rsidR="00CA08EF" w:rsidRPr="00CA08EF">
      <w:rPr>
        <w:rStyle w:val="PageNumber"/>
        <w:rFonts w:ascii="Bookman Old Style" w:hAnsi="Bookman Old Style"/>
        <w:sz w:val="24"/>
        <w:szCs w:val="24"/>
      </w:rPr>
      <w:fldChar w:fldCharType="separate"/>
    </w:r>
    <w:r w:rsidR="00A55480">
      <w:rPr>
        <w:rStyle w:val="PageNumber"/>
        <w:rFonts w:ascii="Bookman Old Style" w:hAnsi="Bookman Old Style"/>
        <w:noProof/>
        <w:sz w:val="24"/>
        <w:szCs w:val="24"/>
      </w:rPr>
      <w:t>1</w:t>
    </w:r>
    <w:r w:rsidR="00CA08EF" w:rsidRPr="00CA08EF">
      <w:rPr>
        <w:rStyle w:val="PageNumber"/>
        <w:rFonts w:ascii="Bookman Old Style" w:hAnsi="Bookman Old Style"/>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EF" w:rsidRDefault="00CA08EF">
    <w:pPr>
      <w:pStyle w:val="Footer"/>
      <w:rPr>
        <w:rFonts w:ascii="Bookman Old Style" w:hAnsi="Bookman Old Style"/>
        <w:sz w:val="22"/>
      </w:rPr>
    </w:pPr>
    <w:r>
      <w:rPr>
        <w:rFonts w:ascii="Bookman Old Style" w:hAnsi="Bookman Old Style"/>
        <w:sz w:val="22"/>
      </w:rPr>
      <w:t>REVISED 1988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8ED" w:rsidRDefault="004E08ED">
      <w:r>
        <w:separator/>
      </w:r>
    </w:p>
  </w:footnote>
  <w:footnote w:type="continuationSeparator" w:id="0">
    <w:p w:rsidR="004E08ED" w:rsidRDefault="004E0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4A"/>
    <w:rsid w:val="00055F67"/>
    <w:rsid w:val="0006493D"/>
    <w:rsid w:val="000769D1"/>
    <w:rsid w:val="000D74C9"/>
    <w:rsid w:val="00272E37"/>
    <w:rsid w:val="002C3F77"/>
    <w:rsid w:val="00366C64"/>
    <w:rsid w:val="00397567"/>
    <w:rsid w:val="003D4A43"/>
    <w:rsid w:val="003F4A80"/>
    <w:rsid w:val="00403567"/>
    <w:rsid w:val="00414E4A"/>
    <w:rsid w:val="00441746"/>
    <w:rsid w:val="004E08ED"/>
    <w:rsid w:val="00515D54"/>
    <w:rsid w:val="00524F2D"/>
    <w:rsid w:val="005D0EEA"/>
    <w:rsid w:val="005D31E6"/>
    <w:rsid w:val="00646AB1"/>
    <w:rsid w:val="00724087"/>
    <w:rsid w:val="007C5150"/>
    <w:rsid w:val="007F5253"/>
    <w:rsid w:val="00856E23"/>
    <w:rsid w:val="008608D9"/>
    <w:rsid w:val="008C4417"/>
    <w:rsid w:val="008C6632"/>
    <w:rsid w:val="008D7D1B"/>
    <w:rsid w:val="008E4387"/>
    <w:rsid w:val="008F6AD5"/>
    <w:rsid w:val="00916D36"/>
    <w:rsid w:val="009519B5"/>
    <w:rsid w:val="00952081"/>
    <w:rsid w:val="00980F77"/>
    <w:rsid w:val="009F508C"/>
    <w:rsid w:val="00A41E7B"/>
    <w:rsid w:val="00A55480"/>
    <w:rsid w:val="00A84624"/>
    <w:rsid w:val="00A9395B"/>
    <w:rsid w:val="00AE0742"/>
    <w:rsid w:val="00B51DBB"/>
    <w:rsid w:val="00B656AC"/>
    <w:rsid w:val="00B67971"/>
    <w:rsid w:val="00B76C36"/>
    <w:rsid w:val="00BA2FC6"/>
    <w:rsid w:val="00BB40A4"/>
    <w:rsid w:val="00BD6BA9"/>
    <w:rsid w:val="00C11CEE"/>
    <w:rsid w:val="00CA08EF"/>
    <w:rsid w:val="00DC6787"/>
    <w:rsid w:val="00DF3A49"/>
    <w:rsid w:val="00DF74B7"/>
    <w:rsid w:val="00E1734D"/>
    <w:rsid w:val="00EC0300"/>
    <w:rsid w:val="00EC0E7B"/>
    <w:rsid w:val="00F57FDB"/>
    <w:rsid w:val="00F96173"/>
    <w:rsid w:val="00FE5E3E"/>
    <w:rsid w:val="00FF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7">
    <w:name w:val="OmniPage #7"/>
    <w:basedOn w:val="Normal"/>
    <w:pPr>
      <w:spacing w:line="240" w:lineRule="exact"/>
    </w:pPr>
  </w:style>
  <w:style w:type="paragraph" w:customStyle="1" w:styleId="OmniPage8">
    <w:name w:val="OmniPage #8"/>
    <w:basedOn w:val="Normal"/>
    <w:pPr>
      <w:spacing w:line="480" w:lineRule="exact"/>
    </w:pPr>
  </w:style>
  <w:style w:type="paragraph" w:customStyle="1" w:styleId="OmniPage9">
    <w:name w:val="OmniPage #9"/>
    <w:basedOn w:val="Normal"/>
    <w:pPr>
      <w:spacing w:line="24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Bookman Old Style" w:hAnsi="Bookman Old Style"/>
      <w:sz w:val="26"/>
    </w:rPr>
  </w:style>
  <w:style w:type="paragraph" w:styleId="BalloonText">
    <w:name w:val="Balloon Text"/>
    <w:basedOn w:val="Normal"/>
    <w:semiHidden/>
    <w:rsid w:val="000769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7">
    <w:name w:val="OmniPage #7"/>
    <w:basedOn w:val="Normal"/>
    <w:pPr>
      <w:spacing w:line="240" w:lineRule="exact"/>
    </w:pPr>
  </w:style>
  <w:style w:type="paragraph" w:customStyle="1" w:styleId="OmniPage8">
    <w:name w:val="OmniPage #8"/>
    <w:basedOn w:val="Normal"/>
    <w:pPr>
      <w:spacing w:line="480" w:lineRule="exact"/>
    </w:pPr>
  </w:style>
  <w:style w:type="paragraph" w:customStyle="1" w:styleId="OmniPage9">
    <w:name w:val="OmniPage #9"/>
    <w:basedOn w:val="Normal"/>
    <w:pPr>
      <w:spacing w:line="24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Bookman Old Style" w:hAnsi="Bookman Old Style"/>
      <w:sz w:val="26"/>
    </w:rPr>
  </w:style>
  <w:style w:type="paragraph" w:styleId="BalloonText">
    <w:name w:val="Balloon Text"/>
    <w:basedOn w:val="Normal"/>
    <w:semiHidden/>
    <w:rsid w:val="000769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03</vt:lpstr>
    </vt:vector>
  </TitlesOfParts>
  <Company>Alaska Court System</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subject/>
  <dc:creator>korzechowski</dc:creator>
  <cp:keywords/>
  <cp:lastModifiedBy>Michael Merrington</cp:lastModifiedBy>
  <cp:revision>3</cp:revision>
  <cp:lastPrinted>2008-07-15T22:32:00Z</cp:lastPrinted>
  <dcterms:created xsi:type="dcterms:W3CDTF">2017-04-04T18:47:00Z</dcterms:created>
  <dcterms:modified xsi:type="dcterms:W3CDTF">2017-04-04T18:47:00Z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-1349402894</vt:i4>
  </property>
  <property fmtid="{D5CDD505-2E9C-101B-9397-08002B2CF9AE}" pid="3" name="_EmailSubject">
    <vt:lpwstr>Supplement 15</vt:lpwstr>
  </property>
  <property fmtid="{D5CDD505-2E9C-101B-9397-08002B2CF9AE}" pid="4" name="_AuthorEmail">
    <vt:lpwstr>jhoenack@courts.state.ak.us</vt:lpwstr>
  </property>
  <property fmtid="{D5CDD505-2E9C-101B-9397-08002B2CF9AE}" pid="5" name="_AuthorEmailDisplayName">
    <vt:lpwstr>Jennie Marshall-Hoenack</vt:lpwstr>
  </property>
  <property fmtid="{D5CDD505-2E9C-101B-9397-08002B2CF9AE}" pid="6" name="_ReviewingToolsShownOnce">
    <vt:lpwstr/>
  </property>
</Properties>
</file>