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1FAE" w14:textId="1466551F" w:rsidR="00AB58C4" w:rsidRDefault="00AB58C4" w:rsidP="00B1366D">
      <w:pPr>
        <w:pStyle w:val="Title"/>
        <w:rPr>
          <w:sz w:val="28"/>
        </w:rPr>
      </w:pPr>
      <w:r>
        <w:rPr>
          <w:sz w:val="28"/>
        </w:rPr>
        <w:t>Getting Your Message to the Judge</w:t>
      </w:r>
      <w:r w:rsidR="00B1366D">
        <w:rPr>
          <w:sz w:val="28"/>
        </w:rPr>
        <w:t xml:space="preserve"> - </w:t>
      </w:r>
      <w:r>
        <w:rPr>
          <w:sz w:val="28"/>
        </w:rPr>
        <w:t>Motion Practice (</w:t>
      </w:r>
      <w:hyperlink r:id="rId7" w:history="1">
        <w:r>
          <w:rPr>
            <w:rStyle w:val="Hyperlink"/>
          </w:rPr>
          <w:t>Civil Rule 77</w:t>
        </w:r>
      </w:hyperlink>
      <w:r>
        <w:rPr>
          <w:sz w:val="28"/>
        </w:rPr>
        <w:t>)</w:t>
      </w:r>
    </w:p>
    <w:p w14:paraId="010F4688" w14:textId="77777777" w:rsidR="00AB58C4" w:rsidRDefault="00AB58C4">
      <w:pPr>
        <w:pStyle w:val="Header"/>
        <w:tabs>
          <w:tab w:val="clear" w:pos="4320"/>
          <w:tab w:val="clear" w:pos="8640"/>
        </w:tabs>
      </w:pPr>
    </w:p>
    <w:p w14:paraId="42118DAC" w14:textId="34DC4E92" w:rsidR="00AB58C4" w:rsidRDefault="00AB58C4">
      <w:pPr>
        <w:rPr>
          <w:sz w:val="22"/>
        </w:rPr>
      </w:pPr>
      <w:r>
        <w:rPr>
          <w:sz w:val="22"/>
        </w:rPr>
        <w:t xml:space="preserve">There are only two acceptable ways to communicate with the </w:t>
      </w:r>
      <w:r w:rsidR="008C4C2E">
        <w:rPr>
          <w:sz w:val="22"/>
        </w:rPr>
        <w:t>j</w:t>
      </w:r>
      <w:r>
        <w:rPr>
          <w:sz w:val="22"/>
        </w:rPr>
        <w:t>udge:</w:t>
      </w:r>
    </w:p>
    <w:p w14:paraId="3674D727" w14:textId="72D868DF" w:rsidR="00AB58C4" w:rsidRDefault="00AB58C4" w:rsidP="00267E41">
      <w:pPr>
        <w:ind w:firstLine="360"/>
        <w:rPr>
          <w:sz w:val="22"/>
        </w:rPr>
      </w:pPr>
      <w:r>
        <w:rPr>
          <w:sz w:val="22"/>
        </w:rPr>
        <w:t xml:space="preserve">1) in writing by </w:t>
      </w:r>
      <w:r w:rsidR="008C4C2E">
        <w:rPr>
          <w:sz w:val="22"/>
        </w:rPr>
        <w:t>m</w:t>
      </w:r>
      <w:r>
        <w:rPr>
          <w:sz w:val="22"/>
        </w:rPr>
        <w:t xml:space="preserve">otion </w:t>
      </w:r>
      <w:r w:rsidR="008C4C2E">
        <w:rPr>
          <w:sz w:val="22"/>
        </w:rPr>
        <w:t>p</w:t>
      </w:r>
      <w:r>
        <w:rPr>
          <w:sz w:val="22"/>
        </w:rPr>
        <w:t xml:space="preserve">ractice, with both sides participating, or </w:t>
      </w:r>
    </w:p>
    <w:p w14:paraId="3B6EC60A" w14:textId="642474A8" w:rsidR="00AB58C4" w:rsidRDefault="00AB58C4" w:rsidP="00267E41">
      <w:pPr>
        <w:ind w:firstLine="360"/>
        <w:rPr>
          <w:sz w:val="22"/>
        </w:rPr>
      </w:pPr>
      <w:r>
        <w:rPr>
          <w:sz w:val="22"/>
        </w:rPr>
        <w:t xml:space="preserve">2) in person at a </w:t>
      </w:r>
      <w:r w:rsidR="008C4C2E">
        <w:rPr>
          <w:sz w:val="22"/>
        </w:rPr>
        <w:t>h</w:t>
      </w:r>
      <w:r>
        <w:rPr>
          <w:sz w:val="22"/>
        </w:rPr>
        <w:t xml:space="preserve">earing set by the </w:t>
      </w:r>
      <w:r w:rsidR="008C4C2E">
        <w:rPr>
          <w:sz w:val="22"/>
        </w:rPr>
        <w:t>j</w:t>
      </w:r>
      <w:r>
        <w:rPr>
          <w:sz w:val="22"/>
        </w:rPr>
        <w:t>udge, with both sides present.</w:t>
      </w:r>
    </w:p>
    <w:p w14:paraId="23B0436E" w14:textId="77777777" w:rsidR="00AB58C4" w:rsidRDefault="00AB58C4">
      <w:pPr>
        <w:jc w:val="both"/>
        <w:rPr>
          <w:sz w:val="22"/>
        </w:rPr>
      </w:pPr>
    </w:p>
    <w:p w14:paraId="48564F51" w14:textId="4DF2FD56" w:rsidR="008C4C2E" w:rsidRDefault="00AB58C4" w:rsidP="008C4C2E">
      <w:pPr>
        <w:rPr>
          <w:sz w:val="22"/>
        </w:rPr>
      </w:pPr>
      <w:r>
        <w:rPr>
          <w:sz w:val="22"/>
        </w:rPr>
        <w:t xml:space="preserve">You must always start by filing a </w:t>
      </w:r>
      <w:r w:rsidR="008C4C2E">
        <w:rPr>
          <w:iCs/>
          <w:sz w:val="22"/>
        </w:rPr>
        <w:t>“m</w:t>
      </w:r>
      <w:r w:rsidRPr="00267E41">
        <w:rPr>
          <w:iCs/>
          <w:sz w:val="22"/>
        </w:rPr>
        <w:t>otion</w:t>
      </w:r>
      <w:r w:rsidRPr="006B7617">
        <w:rPr>
          <w:iCs/>
          <w:sz w:val="22"/>
        </w:rPr>
        <w:t>,</w:t>
      </w:r>
      <w:r w:rsidR="008C4C2E">
        <w:rPr>
          <w:iCs/>
          <w:sz w:val="22"/>
        </w:rPr>
        <w:t>” which means a request for the judge to order something in your case.  Your motion must include an</w:t>
      </w:r>
      <w:r>
        <w:rPr>
          <w:sz w:val="22"/>
        </w:rPr>
        <w:t xml:space="preserve"> </w:t>
      </w:r>
      <w:r w:rsidR="008C4C2E">
        <w:rPr>
          <w:sz w:val="22"/>
        </w:rPr>
        <w:t>“affidavit” (facts supporting your request) and a “memorandum” (arguments or reasons the judge should grant your request)</w:t>
      </w:r>
      <w:r>
        <w:rPr>
          <w:sz w:val="22"/>
        </w:rPr>
        <w:t xml:space="preserve">.  </w:t>
      </w:r>
      <w:r w:rsidR="008C4C2E">
        <w:rPr>
          <w:sz w:val="22"/>
        </w:rPr>
        <w:t xml:space="preserve">Most court forms combine these three things onto one document and simply call it a “motion.”  </w:t>
      </w:r>
    </w:p>
    <w:p w14:paraId="1D9F1493" w14:textId="77777777" w:rsidR="008C4C2E" w:rsidRDefault="008C4C2E" w:rsidP="008C4C2E">
      <w:pPr>
        <w:rPr>
          <w:sz w:val="22"/>
        </w:rPr>
      </w:pPr>
    </w:p>
    <w:p w14:paraId="3C17859D" w14:textId="4198D976" w:rsidR="00AB58C4" w:rsidRDefault="00AB58C4" w:rsidP="00267E41">
      <w:pPr>
        <w:rPr>
          <w:sz w:val="22"/>
        </w:rPr>
      </w:pPr>
      <w:r>
        <w:rPr>
          <w:sz w:val="22"/>
        </w:rPr>
        <w:t xml:space="preserve">Because both </w:t>
      </w:r>
      <w:r w:rsidR="008C4C2E">
        <w:rPr>
          <w:sz w:val="22"/>
        </w:rPr>
        <w:t>parti</w:t>
      </w:r>
      <w:r>
        <w:rPr>
          <w:sz w:val="22"/>
        </w:rPr>
        <w:t xml:space="preserve">es must have an opportunity to </w:t>
      </w:r>
      <w:r w:rsidR="008C4C2E">
        <w:rPr>
          <w:sz w:val="22"/>
        </w:rPr>
        <w:t>tell the judge their side</w:t>
      </w:r>
      <w:r>
        <w:rPr>
          <w:sz w:val="22"/>
        </w:rPr>
        <w:t xml:space="preserve">, you </w:t>
      </w:r>
      <w:r w:rsidR="008C4C2E">
        <w:rPr>
          <w:b/>
          <w:bCs/>
          <w:sz w:val="22"/>
        </w:rPr>
        <w:t>must</w:t>
      </w:r>
      <w:r w:rsidR="008C4C2E">
        <w:rPr>
          <w:sz w:val="22"/>
        </w:rPr>
        <w:t xml:space="preserve"> give the other party </w:t>
      </w:r>
      <w:r>
        <w:rPr>
          <w:sz w:val="22"/>
        </w:rPr>
        <w:t xml:space="preserve">a copy of your </w:t>
      </w:r>
      <w:r w:rsidR="008C4C2E" w:rsidRPr="00267E41">
        <w:rPr>
          <w:iCs/>
          <w:sz w:val="22"/>
        </w:rPr>
        <w:t>motion</w:t>
      </w:r>
      <w:r w:rsidRPr="006B7617">
        <w:rPr>
          <w:iCs/>
          <w:sz w:val="22"/>
        </w:rPr>
        <w:t xml:space="preserve"> </w:t>
      </w:r>
      <w:r w:rsidR="008C4C2E">
        <w:rPr>
          <w:sz w:val="22"/>
        </w:rPr>
        <w:t>and everything you attach to it</w:t>
      </w:r>
      <w:r>
        <w:rPr>
          <w:sz w:val="22"/>
        </w:rPr>
        <w:t>.</w:t>
      </w:r>
      <w:r w:rsidR="008C4C2E">
        <w:rPr>
          <w:sz w:val="22"/>
        </w:rPr>
        <w:t xml:space="preserve">  This is called “service.”  Read more about how to do service for your situation at </w:t>
      </w:r>
      <w:hyperlink r:id="rId8" w:anchor="other-party" w:history="1">
        <w:r w:rsidR="008C4C2E" w:rsidRPr="008C4C2E">
          <w:rPr>
            <w:rStyle w:val="Hyperlink"/>
            <w:sz w:val="22"/>
          </w:rPr>
          <w:t>ak-courts.info/tfservice</w:t>
        </w:r>
      </w:hyperlink>
      <w:r w:rsidR="008C4C2E">
        <w:rPr>
          <w:sz w:val="22"/>
        </w:rPr>
        <w:t>.</w:t>
      </w:r>
      <w:r>
        <w:rPr>
          <w:sz w:val="22"/>
        </w:rPr>
        <w:t xml:space="preserve"> </w:t>
      </w:r>
    </w:p>
    <w:p w14:paraId="6D6DA9C8" w14:textId="77777777" w:rsidR="00AB58C4" w:rsidRDefault="00AB58C4">
      <w:pPr>
        <w:ind w:right="90"/>
        <w:jc w:val="both"/>
        <w:rPr>
          <w:sz w:val="22"/>
        </w:rPr>
      </w:pPr>
    </w:p>
    <w:p w14:paraId="23173E04" w14:textId="72A48282" w:rsidR="00AB58C4" w:rsidRDefault="00AB58C4" w:rsidP="00267E41">
      <w:pPr>
        <w:ind w:right="90"/>
        <w:rPr>
          <w:sz w:val="22"/>
        </w:rPr>
      </w:pPr>
      <w:r>
        <w:rPr>
          <w:sz w:val="22"/>
        </w:rPr>
        <w:t xml:space="preserve">The </w:t>
      </w:r>
      <w:r w:rsidR="008C4C2E">
        <w:rPr>
          <w:sz w:val="22"/>
        </w:rPr>
        <w:t xml:space="preserve">other </w:t>
      </w:r>
      <w:r>
        <w:rPr>
          <w:sz w:val="22"/>
        </w:rPr>
        <w:t>party has 10 days</w:t>
      </w:r>
      <w:r w:rsidR="008C4C2E">
        <w:rPr>
          <w:sz w:val="22"/>
        </w:rPr>
        <w:t xml:space="preserve"> to respond to your motion.  They get 13 days if you mailed your motion.  </w:t>
      </w:r>
      <w:r>
        <w:rPr>
          <w:sz w:val="22"/>
        </w:rPr>
        <w:t xml:space="preserve">The </w:t>
      </w:r>
      <w:r w:rsidR="008C4C2E">
        <w:rPr>
          <w:sz w:val="22"/>
        </w:rPr>
        <w:t xml:space="preserve">other </w:t>
      </w:r>
      <w:r>
        <w:rPr>
          <w:sz w:val="22"/>
        </w:rPr>
        <w:t xml:space="preserve">party must </w:t>
      </w:r>
      <w:r w:rsidR="008C4C2E">
        <w:rPr>
          <w:sz w:val="22"/>
        </w:rPr>
        <w:t>serve you with a copy of any response or opposition that they file</w:t>
      </w:r>
      <w:r>
        <w:rPr>
          <w:sz w:val="22"/>
        </w:rPr>
        <w:t xml:space="preserve"> in </w:t>
      </w:r>
      <w:r w:rsidR="008C4C2E">
        <w:rPr>
          <w:sz w:val="22"/>
        </w:rPr>
        <w:t>c</w:t>
      </w:r>
      <w:r>
        <w:rPr>
          <w:sz w:val="22"/>
        </w:rPr>
        <w:t>ourt.</w:t>
      </w:r>
    </w:p>
    <w:p w14:paraId="4DB2E9B5" w14:textId="77777777" w:rsidR="00AB58C4" w:rsidRDefault="00AB58C4">
      <w:pPr>
        <w:ind w:right="90"/>
        <w:jc w:val="both"/>
        <w:rPr>
          <w:sz w:val="22"/>
        </w:rPr>
      </w:pPr>
    </w:p>
    <w:p w14:paraId="63BC9ED1" w14:textId="681D3C59" w:rsidR="00AB58C4" w:rsidRDefault="008C4C2E" w:rsidP="00267E41">
      <w:pPr>
        <w:ind w:right="90"/>
        <w:rPr>
          <w:sz w:val="22"/>
        </w:rPr>
      </w:pPr>
      <w:r>
        <w:rPr>
          <w:sz w:val="22"/>
        </w:rPr>
        <w:t>You</w:t>
      </w:r>
      <w:r w:rsidR="00AB58C4">
        <w:rPr>
          <w:sz w:val="22"/>
        </w:rPr>
        <w:t xml:space="preserve"> may file a </w:t>
      </w:r>
      <w:r>
        <w:rPr>
          <w:iCs/>
          <w:sz w:val="22"/>
        </w:rPr>
        <w:t xml:space="preserve">“reply” to the other party’s response or opposition (this is optional).  If you choose to file a reply, you have </w:t>
      </w:r>
      <w:r>
        <w:rPr>
          <w:sz w:val="22"/>
        </w:rPr>
        <w:t>5 days (not counting weekends or holidays) to do so.  Add 3 days (for 8 days total) if the other party mailed their response or opposition to you.</w:t>
      </w:r>
    </w:p>
    <w:p w14:paraId="56259E80" w14:textId="77777777" w:rsidR="00AB58C4" w:rsidRPr="006B7617" w:rsidRDefault="00AB58C4">
      <w:pPr>
        <w:ind w:right="90"/>
        <w:jc w:val="both"/>
        <w:rPr>
          <w:iCs/>
          <w:sz w:val="12"/>
        </w:rPr>
      </w:pPr>
    </w:p>
    <w:p w14:paraId="7C3E87E3" w14:textId="08DAEACB" w:rsidR="00AB58C4" w:rsidRPr="00267E41" w:rsidRDefault="008C4C2E" w:rsidP="00267E41">
      <w:pPr>
        <w:ind w:right="90"/>
        <w:rPr>
          <w:b/>
          <w:iCs/>
          <w:sz w:val="12"/>
        </w:rPr>
      </w:pPr>
      <w:r w:rsidRPr="00267E41">
        <w:rPr>
          <w:b/>
          <w:iCs/>
          <w:sz w:val="22"/>
        </w:rPr>
        <w:t xml:space="preserve">In most situations, </w:t>
      </w:r>
      <w:r w:rsidR="00AB58C4" w:rsidRPr="00267E41">
        <w:rPr>
          <w:b/>
          <w:iCs/>
          <w:sz w:val="22"/>
        </w:rPr>
        <w:t xml:space="preserve">no </w:t>
      </w:r>
      <w:r w:rsidR="00D407D3" w:rsidRPr="00267E41">
        <w:rPr>
          <w:b/>
          <w:iCs/>
          <w:sz w:val="22"/>
        </w:rPr>
        <w:t xml:space="preserve">motions </w:t>
      </w:r>
      <w:r w:rsidR="00AB58C4" w:rsidRPr="00267E41">
        <w:rPr>
          <w:b/>
          <w:iCs/>
          <w:sz w:val="22"/>
        </w:rPr>
        <w:t xml:space="preserve">will go to the </w:t>
      </w:r>
      <w:r w:rsidR="00D407D3" w:rsidRPr="00267E41">
        <w:rPr>
          <w:b/>
          <w:iCs/>
          <w:sz w:val="22"/>
        </w:rPr>
        <w:t>j</w:t>
      </w:r>
      <w:r w:rsidR="00AB58C4" w:rsidRPr="00267E41">
        <w:rPr>
          <w:b/>
          <w:iCs/>
          <w:sz w:val="22"/>
        </w:rPr>
        <w:t xml:space="preserve">udge until the time </w:t>
      </w:r>
      <w:r w:rsidR="00D407D3" w:rsidRPr="00267E41">
        <w:rPr>
          <w:b/>
          <w:iCs/>
          <w:sz w:val="22"/>
        </w:rPr>
        <w:t>has passed for each party to file a response or reply.</w:t>
      </w:r>
    </w:p>
    <w:p w14:paraId="05F0052E" w14:textId="77777777" w:rsidR="00AB58C4" w:rsidRDefault="00AB58C4">
      <w:pPr>
        <w:ind w:right="90"/>
        <w:jc w:val="both"/>
        <w:rPr>
          <w:i/>
          <w:sz w:val="12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8"/>
        <w:gridCol w:w="3984"/>
      </w:tblGrid>
      <w:tr w:rsidR="00AB58C4" w14:paraId="73F8104F" w14:textId="77777777" w:rsidTr="00267E41">
        <w:trPr>
          <w:cantSplit/>
          <w:trHeight w:val="293"/>
        </w:trPr>
        <w:tc>
          <w:tcPr>
            <w:tcW w:w="9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14:paraId="640376F9" w14:textId="77777777" w:rsidR="00AB58C4" w:rsidRDefault="00AB58C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>SUMMARY OF MOTION PRACTICE</w:t>
            </w:r>
          </w:p>
        </w:tc>
      </w:tr>
      <w:tr w:rsidR="00AB58C4" w14:paraId="77C2F5E3" w14:textId="77777777" w:rsidTr="00267E41">
        <w:trPr>
          <w:cantSplit/>
          <w:trHeight w:val="1016"/>
        </w:trPr>
        <w:tc>
          <w:tcPr>
            <w:tcW w:w="5358" w:type="dxa"/>
            <w:tcBorders>
              <w:top w:val="nil"/>
              <w:bottom w:val="nil"/>
            </w:tcBorders>
          </w:tcPr>
          <w:p w14:paraId="0E96AF72" w14:textId="714D8D6A" w:rsidR="00AB58C4" w:rsidRDefault="001A7D5D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C0B1EE0" wp14:editId="62B465CA">
                      <wp:simplePos x="0" y="0"/>
                      <wp:positionH relativeFrom="column">
                        <wp:posOffset>1109207</wp:posOffset>
                      </wp:positionH>
                      <wp:positionV relativeFrom="paragraph">
                        <wp:posOffset>146050</wp:posOffset>
                      </wp:positionV>
                      <wp:extent cx="365760" cy="54864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548640"/>
                              </a:xfrm>
                              <a:prstGeom prst="rightBrace">
                                <a:avLst>
                                  <a:gd name="adj1" fmla="val 12500"/>
                                  <a:gd name="adj2" fmla="val 47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A557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margin-left:87.35pt;margin-top:11.5pt;width:28.8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" o:allowincell="f" adj=",10200"/>
                  </w:pict>
                </mc:Fallback>
              </mc:AlternateContent>
            </w:r>
            <w:r w:rsidR="00AB58C4">
              <w:t>Motion</w:t>
            </w:r>
            <w:r w:rsidR="00D407D3">
              <w:t xml:space="preserve"> or</w:t>
            </w:r>
          </w:p>
          <w:p w14:paraId="280D2AA7" w14:textId="2A7069F8" w:rsidR="00AB58C4" w:rsidRDefault="00D407D3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Request                                </w:t>
            </w:r>
            <w:r w:rsidR="00AB58C4">
              <w:t>10 days plus</w:t>
            </w:r>
            <w:r w:rsidR="00AB58C4">
              <w:tab/>
            </w:r>
            <w:r w:rsidR="00AB58C4">
              <w:tab/>
            </w:r>
            <w:r w:rsidR="00AB58C4">
              <w:tab/>
            </w:r>
            <w:r w:rsidR="00AB58C4">
              <w:tab/>
            </w:r>
            <w:r w:rsidR="00AB58C4">
              <w:tab/>
            </w:r>
            <w:r>
              <w:t xml:space="preserve">  3 days if </w:t>
            </w:r>
            <w:r w:rsidR="00AB58C4">
              <w:t>mailed</w:t>
            </w:r>
          </w:p>
          <w:p w14:paraId="1C2A171F" w14:textId="77777777" w:rsidR="00AB58C4" w:rsidRDefault="00AB58C4">
            <w:pPr>
              <w:pStyle w:val="Foot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  <w:tc>
          <w:tcPr>
            <w:tcW w:w="3984" w:type="dxa"/>
            <w:vMerge w:val="restart"/>
            <w:tcBorders>
              <w:top w:val="nil"/>
            </w:tcBorders>
          </w:tcPr>
          <w:p w14:paraId="15C5BA8F" w14:textId="77777777" w:rsidR="00AB58C4" w:rsidRDefault="00AB58C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How to count time:</w:t>
            </w:r>
          </w:p>
          <w:p w14:paraId="5D92BF90" w14:textId="77777777" w:rsidR="00AB58C4" w:rsidRDefault="00AB58C4">
            <w:pPr>
              <w:pStyle w:val="Footer"/>
              <w:tabs>
                <w:tab w:val="clear" w:pos="4320"/>
                <w:tab w:val="clear" w:pos="8640"/>
              </w:tabs>
              <w:rPr>
                <w:sz w:val="10"/>
              </w:rPr>
            </w:pPr>
          </w:p>
          <w:p w14:paraId="61CBD951" w14:textId="77777777" w:rsidR="00AB58C4" w:rsidRDefault="00E74446">
            <w:pPr>
              <w:pStyle w:val="Footer"/>
              <w:tabs>
                <w:tab w:val="clear" w:pos="4320"/>
                <w:tab w:val="clear" w:pos="8640"/>
              </w:tabs>
            </w:pPr>
            <w:hyperlink r:id="rId9" w:history="1">
              <w:r w:rsidR="00AB58C4">
                <w:rPr>
                  <w:rStyle w:val="Hyperlink"/>
                </w:rPr>
                <w:t>Civil Rule 6(a)</w:t>
              </w:r>
            </w:hyperlink>
            <w:r w:rsidR="00AB58C4">
              <w:t>:</w:t>
            </w:r>
          </w:p>
          <w:p w14:paraId="645CE8BE" w14:textId="359E1B72" w:rsidR="00AB58C4" w:rsidRDefault="00AB58C4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 - don’t count first day</w:t>
            </w:r>
          </w:p>
          <w:p w14:paraId="5B59A593" w14:textId="0D8FC1C7" w:rsidR="00AB58C4" w:rsidRDefault="00AB58C4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 - do count last day</w:t>
            </w:r>
          </w:p>
          <w:p w14:paraId="4D557CFC" w14:textId="53E7E4E7" w:rsidR="006B7617" w:rsidRDefault="00AB58C4" w:rsidP="008C4C2E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 - </w:t>
            </w:r>
            <w:r w:rsidR="006B7617">
              <w:rPr>
                <w:b/>
                <w:bCs/>
              </w:rPr>
              <w:t xml:space="preserve">do </w:t>
            </w:r>
            <w:r>
              <w:t>count S</w:t>
            </w:r>
            <w:r w:rsidR="00EF6FC4">
              <w:t>aturday</w:t>
            </w:r>
            <w:r w:rsidR="006B7617">
              <w:t>s</w:t>
            </w:r>
            <w:r w:rsidR="00EF6FC4">
              <w:t>, Sunday</w:t>
            </w:r>
            <w:r w:rsidR="006B7617">
              <w:t>s</w:t>
            </w:r>
            <w:r w:rsidR="00EF6FC4">
              <w:t xml:space="preserve">, </w:t>
            </w:r>
          </w:p>
          <w:p w14:paraId="1931EF77" w14:textId="5D347466" w:rsidR="00AB58C4" w:rsidRDefault="006B7617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   and </w:t>
            </w:r>
            <w:r w:rsidR="00EF6FC4">
              <w:t>holiday</w:t>
            </w:r>
            <w:r>
              <w:t>s</w:t>
            </w:r>
            <w:r w:rsidR="00D407D3">
              <w:t xml:space="preserve"> </w:t>
            </w:r>
            <w:r w:rsidR="00AB58C4">
              <w:t xml:space="preserve">if </w:t>
            </w:r>
            <w:r>
              <w:rPr>
                <w:b/>
                <w:bCs/>
              </w:rPr>
              <w:t>not</w:t>
            </w:r>
            <w:r>
              <w:t xml:space="preserve"> the </w:t>
            </w:r>
            <w:r w:rsidR="00AB58C4">
              <w:t>last day</w:t>
            </w:r>
          </w:p>
          <w:p w14:paraId="6B4A3571" w14:textId="171B1BC9" w:rsidR="006B7617" w:rsidRDefault="00AB58C4" w:rsidP="008C4C2E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 - </w:t>
            </w:r>
            <w:r w:rsidR="006B7617">
              <w:t>For a reply</w:t>
            </w:r>
            <w:r>
              <w:t>, do</w:t>
            </w:r>
            <w:r w:rsidR="006B7617">
              <w:t xml:space="preserve"> </w:t>
            </w:r>
            <w:r w:rsidR="006B7617">
              <w:rPr>
                <w:b/>
                <w:bCs/>
              </w:rPr>
              <w:t>not</w:t>
            </w:r>
            <w:r>
              <w:t xml:space="preserve"> count </w:t>
            </w:r>
          </w:p>
          <w:p w14:paraId="77B1B6E9" w14:textId="122A5CC3" w:rsidR="00AB58C4" w:rsidRDefault="006B7617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   </w:t>
            </w:r>
            <w:r w:rsidR="00AB58C4">
              <w:t>S</w:t>
            </w:r>
            <w:r w:rsidR="00EF6FC4">
              <w:t>aturday</w:t>
            </w:r>
            <w:r>
              <w:t>s</w:t>
            </w:r>
            <w:r w:rsidR="00EF6FC4">
              <w:t>, Sunday</w:t>
            </w:r>
            <w:r>
              <w:t>s, or h</w:t>
            </w:r>
            <w:r w:rsidR="00EF6FC4">
              <w:t>oliday</w:t>
            </w:r>
            <w:r>
              <w:t>s</w:t>
            </w:r>
          </w:p>
        </w:tc>
      </w:tr>
      <w:tr w:rsidR="00AB58C4" w14:paraId="17666183" w14:textId="77777777" w:rsidTr="00267E41">
        <w:trPr>
          <w:cantSplit/>
          <w:trHeight w:val="854"/>
        </w:trPr>
        <w:tc>
          <w:tcPr>
            <w:tcW w:w="5358" w:type="dxa"/>
            <w:tcBorders>
              <w:top w:val="nil"/>
              <w:bottom w:val="nil"/>
            </w:tcBorders>
          </w:tcPr>
          <w:p w14:paraId="0D5FFF60" w14:textId="7CDCA967" w:rsidR="00AB58C4" w:rsidRDefault="001A7D5D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1AC7A46" wp14:editId="69ED4A49">
                      <wp:simplePos x="0" y="0"/>
                      <wp:positionH relativeFrom="column">
                        <wp:posOffset>1109207</wp:posOffset>
                      </wp:positionH>
                      <wp:positionV relativeFrom="paragraph">
                        <wp:posOffset>97072</wp:posOffset>
                      </wp:positionV>
                      <wp:extent cx="365760" cy="64008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640080"/>
                              </a:xfrm>
                              <a:prstGeom prst="rightBrace">
                                <a:avLst>
                                  <a:gd name="adj1" fmla="val 12153"/>
                                  <a:gd name="adj2" fmla="val 52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2EBF8" id="AutoShape 6" o:spid="_x0000_s1026" type="#_x0000_t88" style="position:absolute;margin-left:87.35pt;margin-top:7.65pt;width:28.8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" o:allowincell="f" adj="1500,11400"/>
                  </w:pict>
                </mc:Fallback>
              </mc:AlternateContent>
            </w:r>
            <w:r w:rsidR="00AB58C4">
              <w:t>Opposition</w:t>
            </w:r>
            <w:r w:rsidR="00D407D3">
              <w:t xml:space="preserve"> or</w:t>
            </w:r>
          </w:p>
          <w:p w14:paraId="36D4CDBB" w14:textId="605BC3A8" w:rsidR="00AB58C4" w:rsidRDefault="00D407D3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t>Response</w:t>
            </w:r>
            <w:r w:rsidR="00AB58C4">
              <w:rPr>
                <w:sz w:val="22"/>
              </w:rPr>
              <w:tab/>
            </w:r>
            <w:r w:rsidR="00AB58C4">
              <w:rPr>
                <w:sz w:val="22"/>
              </w:rPr>
              <w:tab/>
            </w:r>
            <w:r>
              <w:rPr>
                <w:sz w:val="22"/>
              </w:rPr>
              <w:t xml:space="preserve">              5 days plus </w:t>
            </w:r>
          </w:p>
          <w:p w14:paraId="1CE56031" w14:textId="3D2DD3A8" w:rsidR="00AB58C4" w:rsidRDefault="00AB58C4">
            <w:pPr>
              <w:pStyle w:val="Footer"/>
              <w:tabs>
                <w:tab w:val="clear" w:pos="4320"/>
                <w:tab w:val="clear" w:pos="8640"/>
              </w:tabs>
            </w:pPr>
            <w:r>
              <w:tab/>
            </w:r>
            <w:r>
              <w:tab/>
            </w:r>
            <w:r>
              <w:tab/>
              <w:t xml:space="preserve"> </w:t>
            </w:r>
            <w:r w:rsidR="00D407D3">
              <w:t xml:space="preserve">            </w:t>
            </w:r>
            <w:r>
              <w:t xml:space="preserve">3 days if </w:t>
            </w:r>
            <w:r w:rsidR="00D407D3">
              <w:t>mailed</w:t>
            </w:r>
          </w:p>
        </w:tc>
        <w:tc>
          <w:tcPr>
            <w:tcW w:w="3984" w:type="dxa"/>
            <w:vMerge/>
          </w:tcPr>
          <w:p w14:paraId="26A808CD" w14:textId="77777777" w:rsidR="00AB58C4" w:rsidRDefault="00AB58C4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AB58C4" w14:paraId="563DE2DF" w14:textId="77777777" w:rsidTr="00267E41">
        <w:trPr>
          <w:cantSplit/>
          <w:trHeight w:val="421"/>
        </w:trPr>
        <w:tc>
          <w:tcPr>
            <w:tcW w:w="5358" w:type="dxa"/>
            <w:tcBorders>
              <w:top w:val="nil"/>
            </w:tcBorders>
          </w:tcPr>
          <w:p w14:paraId="4DB7AB8A" w14:textId="221D985F" w:rsidR="00AB58C4" w:rsidRDefault="00AB58C4">
            <w:pPr>
              <w:pStyle w:val="Footer"/>
              <w:tabs>
                <w:tab w:val="clear" w:pos="4320"/>
                <w:tab w:val="clear" w:pos="8640"/>
              </w:tabs>
              <w:rPr>
                <w:sz w:val="12"/>
              </w:rPr>
            </w:pPr>
            <w:r>
              <w:rPr>
                <w:sz w:val="12"/>
              </w:rPr>
              <w:tab/>
            </w:r>
            <w:r>
              <w:rPr>
                <w:sz w:val="12"/>
              </w:rPr>
              <w:tab/>
            </w:r>
            <w:r>
              <w:rPr>
                <w:sz w:val="12"/>
              </w:rPr>
              <w:tab/>
            </w:r>
            <w:r>
              <w:rPr>
                <w:sz w:val="12"/>
              </w:rPr>
              <w:tab/>
            </w:r>
            <w:r>
              <w:rPr>
                <w:sz w:val="12"/>
              </w:rPr>
              <w:tab/>
            </w:r>
            <w:r>
              <w:rPr>
                <w:sz w:val="12"/>
              </w:rPr>
              <w:tab/>
            </w:r>
          </w:p>
          <w:p w14:paraId="1A3CBBE1" w14:textId="77777777" w:rsidR="00AB58C4" w:rsidRDefault="00AB58C4">
            <w:pPr>
              <w:pStyle w:val="Footer"/>
              <w:tabs>
                <w:tab w:val="clear" w:pos="4320"/>
                <w:tab w:val="clear" w:pos="8640"/>
              </w:tabs>
            </w:pPr>
            <w:r>
              <w:t>Reply</w:t>
            </w:r>
          </w:p>
        </w:tc>
        <w:tc>
          <w:tcPr>
            <w:tcW w:w="3984" w:type="dxa"/>
            <w:vMerge/>
          </w:tcPr>
          <w:p w14:paraId="27006C0C" w14:textId="77777777" w:rsidR="00AB58C4" w:rsidRDefault="00AB58C4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</w:tbl>
    <w:p w14:paraId="1F356F0A" w14:textId="77777777" w:rsidR="00AB58C4" w:rsidRDefault="00AB58C4">
      <w:pPr>
        <w:pStyle w:val="Heading6"/>
        <w:rPr>
          <w:sz w:val="16"/>
        </w:rPr>
      </w:pPr>
    </w:p>
    <w:p w14:paraId="5FF186EE" w14:textId="197066CD" w:rsidR="00AB58C4" w:rsidRDefault="00AB58C4">
      <w:pPr>
        <w:pStyle w:val="Heading6"/>
        <w:rPr>
          <w:sz w:val="22"/>
        </w:rPr>
      </w:pPr>
      <w:r>
        <w:rPr>
          <w:sz w:val="22"/>
        </w:rPr>
        <w:t xml:space="preserve">Motions and </w:t>
      </w:r>
      <w:r w:rsidR="00D407D3">
        <w:rPr>
          <w:sz w:val="22"/>
        </w:rPr>
        <w:t>Response</w:t>
      </w:r>
      <w:r w:rsidR="004D02C6">
        <w:rPr>
          <w:sz w:val="22"/>
        </w:rPr>
        <w:t>s</w:t>
      </w:r>
      <w:r w:rsidR="00D407D3">
        <w:rPr>
          <w:sz w:val="22"/>
        </w:rPr>
        <w:t>/</w:t>
      </w:r>
      <w:r>
        <w:rPr>
          <w:sz w:val="22"/>
        </w:rPr>
        <w:t>Oppositions</w:t>
      </w:r>
    </w:p>
    <w:p w14:paraId="4FD2506C" w14:textId="6A6B74C4" w:rsidR="00AB58C4" w:rsidRDefault="00AB58C4">
      <w:pPr>
        <w:rPr>
          <w:sz w:val="22"/>
        </w:rPr>
      </w:pPr>
      <w:r>
        <w:rPr>
          <w:sz w:val="22"/>
        </w:rPr>
        <w:t xml:space="preserve">The </w:t>
      </w:r>
      <w:r w:rsidR="00B1366D">
        <w:rPr>
          <w:iCs/>
          <w:sz w:val="22"/>
        </w:rPr>
        <w:t>m</w:t>
      </w:r>
      <w:r w:rsidRPr="00267E41">
        <w:rPr>
          <w:iCs/>
          <w:sz w:val="22"/>
        </w:rPr>
        <w:t>otion</w:t>
      </w:r>
      <w:r w:rsidRPr="006B7617">
        <w:rPr>
          <w:iCs/>
          <w:sz w:val="22"/>
        </w:rPr>
        <w:t xml:space="preserve"> or </w:t>
      </w:r>
      <w:r w:rsidR="00B1366D">
        <w:rPr>
          <w:iCs/>
          <w:sz w:val="22"/>
        </w:rPr>
        <w:t>o</w:t>
      </w:r>
      <w:r w:rsidRPr="00267E41">
        <w:rPr>
          <w:iCs/>
          <w:sz w:val="22"/>
        </w:rPr>
        <w:t>pposition</w:t>
      </w:r>
      <w:r>
        <w:rPr>
          <w:sz w:val="22"/>
        </w:rPr>
        <w:t xml:space="preserve"> </w:t>
      </w:r>
      <w:r w:rsidR="00B1366D">
        <w:rPr>
          <w:sz w:val="22"/>
        </w:rPr>
        <w:t xml:space="preserve">part </w:t>
      </w:r>
      <w:r>
        <w:rPr>
          <w:sz w:val="22"/>
        </w:rPr>
        <w:t xml:space="preserve">tells the </w:t>
      </w:r>
      <w:r w:rsidR="00B1366D">
        <w:rPr>
          <w:sz w:val="22"/>
        </w:rPr>
        <w:t>j</w:t>
      </w:r>
      <w:r>
        <w:rPr>
          <w:sz w:val="22"/>
        </w:rPr>
        <w:t xml:space="preserve">udge what you want and why you want it in a few short sentences.  Your </w:t>
      </w:r>
      <w:r w:rsidR="00B1366D">
        <w:rPr>
          <w:iCs/>
          <w:sz w:val="22"/>
        </w:rPr>
        <w:t>m</w:t>
      </w:r>
      <w:r w:rsidRPr="00267E41">
        <w:rPr>
          <w:iCs/>
          <w:sz w:val="22"/>
        </w:rPr>
        <w:t xml:space="preserve">otion or </w:t>
      </w:r>
      <w:r w:rsidR="00B1366D">
        <w:rPr>
          <w:iCs/>
          <w:sz w:val="22"/>
        </w:rPr>
        <w:t>o</w:t>
      </w:r>
      <w:r w:rsidRPr="00267E41">
        <w:rPr>
          <w:iCs/>
          <w:sz w:val="22"/>
        </w:rPr>
        <w:t>pposition</w:t>
      </w:r>
      <w:r>
        <w:rPr>
          <w:sz w:val="22"/>
        </w:rPr>
        <w:t xml:space="preserve"> also tells the </w:t>
      </w:r>
      <w:r w:rsidR="00B1366D">
        <w:rPr>
          <w:sz w:val="22"/>
        </w:rPr>
        <w:t>j</w:t>
      </w:r>
      <w:r>
        <w:rPr>
          <w:sz w:val="22"/>
        </w:rPr>
        <w:t xml:space="preserve">udge what other documents are attached, whether you are requesting a </w:t>
      </w:r>
      <w:r w:rsidR="00B1366D">
        <w:rPr>
          <w:sz w:val="22"/>
        </w:rPr>
        <w:t>h</w:t>
      </w:r>
      <w:r>
        <w:rPr>
          <w:sz w:val="22"/>
        </w:rPr>
        <w:t>earing</w:t>
      </w:r>
      <w:r w:rsidR="00B1366D">
        <w:rPr>
          <w:sz w:val="22"/>
        </w:rPr>
        <w:t>, and</w:t>
      </w:r>
      <w:r>
        <w:rPr>
          <w:sz w:val="22"/>
        </w:rPr>
        <w:t xml:space="preserve"> whether there is an emergency.</w:t>
      </w:r>
    </w:p>
    <w:p w14:paraId="04DF8EE3" w14:textId="77777777" w:rsidR="004D02C6" w:rsidRDefault="004D02C6">
      <w:pPr>
        <w:rPr>
          <w:sz w:val="22"/>
        </w:rPr>
      </w:pPr>
    </w:p>
    <w:p w14:paraId="64062C60" w14:textId="77777777" w:rsidR="00AB58C4" w:rsidRDefault="00AB58C4">
      <w:pPr>
        <w:pStyle w:val="Heading6"/>
        <w:rPr>
          <w:sz w:val="22"/>
        </w:rPr>
      </w:pPr>
      <w:r>
        <w:rPr>
          <w:sz w:val="22"/>
        </w:rPr>
        <w:t>Affidavit and Memorandums</w:t>
      </w:r>
    </w:p>
    <w:p w14:paraId="5BE1509D" w14:textId="531A4B03" w:rsidR="00AB58C4" w:rsidRDefault="00AB58C4">
      <w:pPr>
        <w:rPr>
          <w:sz w:val="22"/>
        </w:rPr>
      </w:pPr>
      <w:r>
        <w:rPr>
          <w:sz w:val="22"/>
        </w:rPr>
        <w:t xml:space="preserve">The </w:t>
      </w:r>
      <w:r w:rsidR="00B1366D">
        <w:rPr>
          <w:iCs/>
          <w:sz w:val="22"/>
        </w:rPr>
        <w:t>a</w:t>
      </w:r>
      <w:r w:rsidRPr="00267E41">
        <w:rPr>
          <w:iCs/>
          <w:sz w:val="22"/>
        </w:rPr>
        <w:t xml:space="preserve">ffidavit and </w:t>
      </w:r>
      <w:r w:rsidR="00B1366D">
        <w:rPr>
          <w:iCs/>
          <w:sz w:val="22"/>
        </w:rPr>
        <w:t>m</w:t>
      </w:r>
      <w:r w:rsidRPr="00267E41">
        <w:rPr>
          <w:iCs/>
          <w:sz w:val="22"/>
        </w:rPr>
        <w:t>emorandum</w:t>
      </w:r>
      <w:r>
        <w:rPr>
          <w:sz w:val="22"/>
        </w:rPr>
        <w:t xml:space="preserve"> </w:t>
      </w:r>
      <w:r w:rsidR="00B1366D">
        <w:rPr>
          <w:sz w:val="22"/>
        </w:rPr>
        <w:t xml:space="preserve">part </w:t>
      </w:r>
      <w:r>
        <w:rPr>
          <w:sz w:val="22"/>
        </w:rPr>
        <w:t>tell</w:t>
      </w:r>
      <w:r w:rsidR="00B1366D">
        <w:rPr>
          <w:sz w:val="22"/>
        </w:rPr>
        <w:t>s</w:t>
      </w:r>
      <w:r>
        <w:rPr>
          <w:sz w:val="22"/>
        </w:rPr>
        <w:t xml:space="preserve"> the </w:t>
      </w:r>
      <w:r w:rsidR="00B1366D">
        <w:rPr>
          <w:sz w:val="22"/>
        </w:rPr>
        <w:t>j</w:t>
      </w:r>
      <w:r>
        <w:rPr>
          <w:sz w:val="22"/>
        </w:rPr>
        <w:t xml:space="preserve">udge why you should get what you want.  </w:t>
      </w:r>
      <w:r w:rsidR="00B1366D">
        <w:rPr>
          <w:sz w:val="22"/>
        </w:rPr>
        <w:t>The affidavit should include</w:t>
      </w:r>
      <w:r>
        <w:rPr>
          <w:sz w:val="22"/>
        </w:rPr>
        <w:t xml:space="preserve"> all the important and relevant facts, and </w:t>
      </w:r>
      <w:r w:rsidR="00B1366D">
        <w:rPr>
          <w:sz w:val="22"/>
        </w:rPr>
        <w:t xml:space="preserve">in the memorandum, you </w:t>
      </w:r>
      <w:r>
        <w:rPr>
          <w:sz w:val="22"/>
        </w:rPr>
        <w:t xml:space="preserve">make any argument that helps support your request.  Since </w:t>
      </w:r>
      <w:r w:rsidR="00B1366D">
        <w:rPr>
          <w:sz w:val="22"/>
        </w:rPr>
        <w:t xml:space="preserve">an affidavit </w:t>
      </w:r>
      <w:r>
        <w:rPr>
          <w:sz w:val="22"/>
        </w:rPr>
        <w:t xml:space="preserve">is a sworn statement, you must sign it in front of a </w:t>
      </w:r>
      <w:r w:rsidR="00B1366D">
        <w:rPr>
          <w:sz w:val="22"/>
        </w:rPr>
        <w:t>n</w:t>
      </w:r>
      <w:r>
        <w:rPr>
          <w:sz w:val="22"/>
        </w:rPr>
        <w:t>otary</w:t>
      </w:r>
      <w:r w:rsidR="00B1366D">
        <w:rPr>
          <w:sz w:val="22"/>
        </w:rPr>
        <w:t xml:space="preserve"> or court clerk</w:t>
      </w:r>
      <w:r>
        <w:rPr>
          <w:sz w:val="22"/>
        </w:rPr>
        <w:t xml:space="preserve">. You will need </w:t>
      </w:r>
      <w:r w:rsidR="00B1366D">
        <w:rPr>
          <w:sz w:val="22"/>
        </w:rPr>
        <w:t xml:space="preserve">photo </w:t>
      </w:r>
      <w:r>
        <w:rPr>
          <w:sz w:val="22"/>
        </w:rPr>
        <w:t>ID when you sign.</w:t>
      </w:r>
    </w:p>
    <w:p w14:paraId="6DDE8CE5" w14:textId="77777777" w:rsidR="00AB58C4" w:rsidRDefault="00AB58C4">
      <w:pPr>
        <w:pStyle w:val="Heading5"/>
        <w:jc w:val="both"/>
        <w:rPr>
          <w:b w:val="0"/>
          <w:sz w:val="16"/>
        </w:rPr>
      </w:pPr>
    </w:p>
    <w:p w14:paraId="1DD19BD0" w14:textId="77777777" w:rsidR="00AB58C4" w:rsidRDefault="00AB58C4" w:rsidP="00267E41">
      <w:pPr>
        <w:jc w:val="both"/>
        <w:rPr>
          <w:sz w:val="12"/>
        </w:rPr>
      </w:pPr>
    </w:p>
    <w:p w14:paraId="0D533995" w14:textId="0E59D25A" w:rsidR="00AB58C4" w:rsidRPr="00267E41" w:rsidRDefault="00AB58C4" w:rsidP="00267E41">
      <w:pPr>
        <w:pBdr>
          <w:top w:val="double" w:sz="4" w:space="6" w:color="auto"/>
          <w:left w:val="double" w:sz="4" w:space="4" w:color="auto"/>
          <w:bottom w:val="double" w:sz="4" w:space="3" w:color="auto"/>
          <w:right w:val="double" w:sz="4" w:space="4" w:color="auto"/>
        </w:pBdr>
        <w:jc w:val="both"/>
        <w:rPr>
          <w:iCs/>
          <w:sz w:val="22"/>
        </w:rPr>
      </w:pPr>
      <w:r w:rsidRPr="00267E41">
        <w:rPr>
          <w:b/>
          <w:iCs/>
          <w:sz w:val="22"/>
        </w:rPr>
        <w:t>THINGS TO REMEMBER:</w:t>
      </w:r>
    </w:p>
    <w:p w14:paraId="16F2C7E4" w14:textId="7391814B" w:rsidR="00AB58C4" w:rsidRDefault="00AB58C4" w:rsidP="00267E41">
      <w:pPr>
        <w:numPr>
          <w:ilvl w:val="0"/>
          <w:numId w:val="5"/>
        </w:numPr>
        <w:pBdr>
          <w:top w:val="double" w:sz="4" w:space="6" w:color="auto"/>
          <w:left w:val="double" w:sz="4" w:space="4" w:color="auto"/>
          <w:bottom w:val="double" w:sz="4" w:space="3" w:color="auto"/>
          <w:right w:val="double" w:sz="4" w:space="4" w:color="auto"/>
        </w:pBdr>
        <w:spacing w:before="60"/>
        <w:rPr>
          <w:sz w:val="22"/>
        </w:rPr>
      </w:pPr>
      <w:r>
        <w:rPr>
          <w:sz w:val="22"/>
        </w:rPr>
        <w:t xml:space="preserve">It’s a process: </w:t>
      </w:r>
      <w:r w:rsidR="00B1366D">
        <w:rPr>
          <w:iCs/>
          <w:sz w:val="22"/>
        </w:rPr>
        <w:t>m</w:t>
      </w:r>
      <w:r w:rsidRPr="00267E41">
        <w:rPr>
          <w:iCs/>
          <w:sz w:val="22"/>
        </w:rPr>
        <w:t xml:space="preserve">otion, </w:t>
      </w:r>
      <w:r w:rsidR="00B1366D">
        <w:rPr>
          <w:iCs/>
          <w:sz w:val="22"/>
        </w:rPr>
        <w:t>response/o</w:t>
      </w:r>
      <w:r w:rsidRPr="00267E41">
        <w:rPr>
          <w:iCs/>
          <w:sz w:val="22"/>
        </w:rPr>
        <w:t xml:space="preserve">pposition, and </w:t>
      </w:r>
      <w:r w:rsidR="00B1366D">
        <w:rPr>
          <w:iCs/>
          <w:sz w:val="22"/>
        </w:rPr>
        <w:t>r</w:t>
      </w:r>
      <w:r w:rsidRPr="00267E41">
        <w:rPr>
          <w:iCs/>
          <w:sz w:val="22"/>
        </w:rPr>
        <w:t>eply</w:t>
      </w:r>
      <w:r w:rsidR="00E74446">
        <w:rPr>
          <w:sz w:val="22"/>
        </w:rPr>
        <w:t>.  P</w:t>
      </w:r>
      <w:r w:rsidR="00EF6FC4">
        <w:rPr>
          <w:sz w:val="22"/>
        </w:rPr>
        <w:t>ay attention to the deadlines for each</w:t>
      </w:r>
      <w:r w:rsidR="00E74446">
        <w:rPr>
          <w:sz w:val="22"/>
        </w:rPr>
        <w:t>.</w:t>
      </w:r>
    </w:p>
    <w:p w14:paraId="2B7D2BEE" w14:textId="41C56146" w:rsidR="00AB58C4" w:rsidRPr="00267E41" w:rsidRDefault="00AB58C4" w:rsidP="00E74446">
      <w:pPr>
        <w:numPr>
          <w:ilvl w:val="0"/>
          <w:numId w:val="5"/>
        </w:numPr>
        <w:pBdr>
          <w:top w:val="double" w:sz="4" w:space="6" w:color="auto"/>
          <w:left w:val="double" w:sz="4" w:space="4" w:color="auto"/>
          <w:bottom w:val="double" w:sz="4" w:space="3" w:color="auto"/>
          <w:right w:val="double" w:sz="4" w:space="4" w:color="auto"/>
        </w:pBdr>
        <w:spacing w:before="60"/>
      </w:pPr>
      <w:r>
        <w:rPr>
          <w:sz w:val="22"/>
        </w:rPr>
        <w:t xml:space="preserve">You must serve the other </w:t>
      </w:r>
      <w:r w:rsidR="00E74446">
        <w:rPr>
          <w:sz w:val="22"/>
        </w:rPr>
        <w:t>party with a copy of everything you file in court.</w:t>
      </w:r>
    </w:p>
    <w:p w14:paraId="0DF8F7BD" w14:textId="371C15C2" w:rsidR="00E74446" w:rsidRDefault="00E74446" w:rsidP="00267E41">
      <w:pPr>
        <w:numPr>
          <w:ilvl w:val="0"/>
          <w:numId w:val="5"/>
        </w:numPr>
        <w:pBdr>
          <w:top w:val="double" w:sz="4" w:space="6" w:color="auto"/>
          <w:left w:val="double" w:sz="4" w:space="4" w:color="auto"/>
          <w:bottom w:val="double" w:sz="4" w:space="3" w:color="auto"/>
          <w:right w:val="double" w:sz="4" w:space="4" w:color="auto"/>
        </w:pBdr>
        <w:spacing w:before="60"/>
      </w:pPr>
      <w:r>
        <w:rPr>
          <w:sz w:val="22"/>
        </w:rPr>
        <w:t>Fill out the certificate of service on the form (if you are filing in paper copy) or complete the certificate of service step in TrueFiling (if you are filing electronically).</w:t>
      </w:r>
    </w:p>
    <w:sectPr w:rsidR="00E74446" w:rsidSect="00267E41">
      <w:footerReference w:type="default" r:id="rId10"/>
      <w:pgSz w:w="12240" w:h="15840" w:code="1"/>
      <w:pgMar w:top="720" w:right="144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3E2A" w14:textId="77777777" w:rsidR="00911FD4" w:rsidRDefault="00911FD4">
      <w:r>
        <w:separator/>
      </w:r>
    </w:p>
  </w:endnote>
  <w:endnote w:type="continuationSeparator" w:id="0">
    <w:p w14:paraId="06FAD63A" w14:textId="77777777" w:rsidR="00911FD4" w:rsidRDefault="0091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728C" w14:textId="4C31A534" w:rsidR="00EF6FC4" w:rsidRPr="00267E41" w:rsidRDefault="00EF6FC4" w:rsidP="00EF6FC4">
    <w:pPr>
      <w:pStyle w:val="Footer"/>
      <w:rPr>
        <w:bCs/>
      </w:rPr>
    </w:pPr>
    <w:r w:rsidRPr="00267E41">
      <w:rPr>
        <w:bCs/>
        <w:sz w:val="20"/>
      </w:rPr>
      <w:t>GETTING YOUR ME</w:t>
    </w:r>
    <w:r w:rsidR="00F27401" w:rsidRPr="00267E41">
      <w:rPr>
        <w:bCs/>
        <w:sz w:val="20"/>
      </w:rPr>
      <w:t>SSAGE TO THE JUDGE</w:t>
    </w:r>
    <w:r w:rsidR="00F27401" w:rsidRPr="00267E41">
      <w:rPr>
        <w:bCs/>
        <w:sz w:val="20"/>
      </w:rPr>
      <w:tab/>
    </w:r>
    <w:r w:rsidR="00F27401" w:rsidRPr="00267E41">
      <w:rPr>
        <w:bCs/>
        <w:sz w:val="20"/>
      </w:rPr>
      <w:tab/>
      <w:t>SHC-1380 (</w:t>
    </w:r>
    <w:r w:rsidR="00B1366D">
      <w:rPr>
        <w:bCs/>
        <w:sz w:val="20"/>
      </w:rPr>
      <w:t>6/25</w:t>
    </w:r>
    <w:r w:rsidRPr="00267E41">
      <w:rPr>
        <w:bCs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7802" w14:textId="77777777" w:rsidR="00911FD4" w:rsidRDefault="00911FD4">
      <w:r>
        <w:separator/>
      </w:r>
    </w:p>
  </w:footnote>
  <w:footnote w:type="continuationSeparator" w:id="0">
    <w:p w14:paraId="40A91403" w14:textId="77777777" w:rsidR="00911FD4" w:rsidRDefault="0091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AC377BB"/>
    <w:multiLevelType w:val="singleLevel"/>
    <w:tmpl w:val="1F5A328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9C55F82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77B439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1005BD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FD"/>
    <w:rsid w:val="0008381C"/>
    <w:rsid w:val="001A7D5D"/>
    <w:rsid w:val="00267E41"/>
    <w:rsid w:val="0028695D"/>
    <w:rsid w:val="00347427"/>
    <w:rsid w:val="004D02C6"/>
    <w:rsid w:val="005730FD"/>
    <w:rsid w:val="006B7617"/>
    <w:rsid w:val="006E742F"/>
    <w:rsid w:val="008C4C2E"/>
    <w:rsid w:val="00911FD4"/>
    <w:rsid w:val="00932C2A"/>
    <w:rsid w:val="009D1542"/>
    <w:rsid w:val="00AB58C4"/>
    <w:rsid w:val="00B1366D"/>
    <w:rsid w:val="00B42D65"/>
    <w:rsid w:val="00B5596E"/>
    <w:rsid w:val="00BA6A3F"/>
    <w:rsid w:val="00CB7AEE"/>
    <w:rsid w:val="00D407D3"/>
    <w:rsid w:val="00E74446"/>
    <w:rsid w:val="00EF6FC4"/>
    <w:rsid w:val="00F27401"/>
    <w:rsid w:val="00F8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5C094D3"/>
  <w15:chartTrackingRefBased/>
  <w15:docId w15:val="{F7D1041D-36C3-4FAC-A918-56D29361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32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caps/>
      <w:u w:val="thick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rsid w:val="008C4C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ts.alaska.gov/efile/faq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urts.alaska.gov/rules/docs/civ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urtrecords.alaska.gov/webdocs/rules/docs/ci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your message to the Judge:  Motion Practice, SHC-1380</vt:lpstr>
    </vt:vector>
  </TitlesOfParts>
  <Company>ACS</Company>
  <LinksUpToDate>false</LinksUpToDate>
  <CharactersWithSpaces>3213</CharactersWithSpaces>
  <SharedDoc>false</SharedDoc>
  <HLinks>
    <vt:vector size="12" baseType="variant"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http://www.courtrecords.alaska.gov/webdocs/rules/docs/civ.pdf</vt:lpwstr>
      </vt:variant>
      <vt:variant>
        <vt:lpwstr/>
      </vt:variant>
      <vt:variant>
        <vt:i4>589907</vt:i4>
      </vt:variant>
      <vt:variant>
        <vt:i4>0</vt:i4>
      </vt:variant>
      <vt:variant>
        <vt:i4>0</vt:i4>
      </vt:variant>
      <vt:variant>
        <vt:i4>5</vt:i4>
      </vt:variant>
      <vt:variant>
        <vt:lpwstr>http://www.courtrecords.alaska.gov/webdocs/rules/docs/civ.pdf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message to the Judge:  Motion Practice, SHC-1380</dc:title>
  <dc:subject/>
  <dc:creator>Family Law Self-Help Center - Alaska Court System</dc:creator>
  <cp:keywords/>
  <cp:lastModifiedBy>Kathleen Doherty</cp:lastModifiedBy>
  <cp:revision>2</cp:revision>
  <cp:lastPrinted>2002-02-06T00:01:00Z</cp:lastPrinted>
  <dcterms:created xsi:type="dcterms:W3CDTF">2025-07-07T19:08:00Z</dcterms:created>
  <dcterms:modified xsi:type="dcterms:W3CDTF">2025-07-07T19:08:00Z</dcterms:modified>
</cp:coreProperties>
</file>