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940" w:rsidRDefault="00216940" w:rsidP="008F2F5A">
      <w:pPr>
        <w:widowControl w:val="0"/>
        <w:ind w:left="1440" w:hanging="1440"/>
        <w:rPr>
          <w:rFonts w:ascii="Bookman Old Style" w:hAnsi="Bookman Old Style" w:cs="Bookman Old Style"/>
          <w:b/>
          <w:bCs/>
          <w:caps/>
          <w:snapToGrid w:val="0"/>
          <w:sz w:val="26"/>
          <w:szCs w:val="26"/>
        </w:rPr>
      </w:pPr>
      <w:bookmarkStart w:id="0" w:name="_GoBack"/>
      <w:bookmarkEnd w:id="0"/>
      <w:r>
        <w:rPr>
          <w:rFonts w:ascii="Bookman Old Style" w:hAnsi="Bookman Old Style" w:cs="Bookman Old Style"/>
          <w:b/>
          <w:bCs/>
          <w:caps/>
          <w:snapToGrid w:val="0"/>
          <w:sz w:val="26"/>
          <w:szCs w:val="26"/>
        </w:rPr>
        <w:t>18.06</w:t>
      </w:r>
      <w:r>
        <w:rPr>
          <w:rFonts w:ascii="Bookman Old Style" w:hAnsi="Bookman Old Style" w:cs="Bookman Old Style"/>
          <w:b/>
          <w:bCs/>
          <w:caps/>
          <w:snapToGrid w:val="0"/>
          <w:sz w:val="26"/>
          <w:szCs w:val="26"/>
        </w:rPr>
        <w:tab/>
      </w:r>
      <w:r w:rsidR="008F2F5A">
        <w:rPr>
          <w:rFonts w:ascii="Bookman Old Style" w:hAnsi="Bookman Old Style" w:cs="Bookman Old Style"/>
          <w:b/>
          <w:bCs/>
          <w:caps/>
          <w:snapToGrid w:val="0"/>
          <w:sz w:val="26"/>
          <w:szCs w:val="26"/>
        </w:rPr>
        <w:t xml:space="preserve">conversion/Intentional Interference with chattels — </w:t>
      </w:r>
      <w:r>
        <w:rPr>
          <w:rFonts w:ascii="Bookman Old Style" w:hAnsi="Bookman Old Style" w:cs="Bookman Old Style"/>
          <w:b/>
          <w:bCs/>
          <w:caps/>
          <w:snapToGrid w:val="0"/>
          <w:sz w:val="26"/>
          <w:szCs w:val="26"/>
        </w:rPr>
        <w:t>Measure of Damages — Introduction</w:t>
      </w:r>
    </w:p>
    <w:p w:rsidR="00216940" w:rsidRPr="00E81321" w:rsidRDefault="00216940">
      <w:pPr>
        <w:widowControl w:val="0"/>
        <w:spacing w:line="360" w:lineRule="auto"/>
        <w:jc w:val="both"/>
        <w:rPr>
          <w:rFonts w:ascii="Bookman Old Style" w:hAnsi="Bookman Old Style" w:cs="Bookman Old Style"/>
          <w:i/>
          <w:snapToGrid w:val="0"/>
          <w:sz w:val="26"/>
          <w:szCs w:val="26"/>
        </w:rPr>
      </w:pPr>
    </w:p>
    <w:p w:rsidR="00216940" w:rsidRPr="008C0AF1" w:rsidRDefault="00216940">
      <w:pPr>
        <w:widowControl w:val="0"/>
        <w:spacing w:line="360" w:lineRule="auto"/>
        <w:jc w:val="both"/>
        <w:rPr>
          <w:rFonts w:ascii="Bookman Old Style" w:hAnsi="Bookman Old Style" w:cs="Bookman Old Style"/>
          <w:snapToGrid w:val="0"/>
          <w:sz w:val="24"/>
          <w:szCs w:val="24"/>
        </w:rPr>
      </w:pPr>
      <w:r w:rsidRPr="008C0AF1">
        <w:rPr>
          <w:rFonts w:ascii="Bookman Old Style" w:hAnsi="Bookman Old Style" w:cs="Bookman Old Style"/>
          <w:snapToGrid w:val="0"/>
          <w:sz w:val="24"/>
          <w:szCs w:val="24"/>
        </w:rPr>
        <w:t>If you decide the defendant damaged the (insert item of property) or interfered with the plaintiff's right to possess the (insert item of property) [without a legal excuse] [and the defendant is unable to return the (insert item of property)], you must decide how much the defendant must pay to the plaintiff.  I will now explain how you are to do this.</w:t>
      </w:r>
    </w:p>
    <w:p w:rsidR="00216940" w:rsidRPr="008C0AF1" w:rsidRDefault="00216940">
      <w:pPr>
        <w:widowControl w:val="0"/>
        <w:spacing w:line="360" w:lineRule="auto"/>
        <w:jc w:val="both"/>
        <w:rPr>
          <w:rFonts w:ascii="Bookman Old Style" w:hAnsi="Bookman Old Style" w:cs="Bookman Old Style"/>
          <w:snapToGrid w:val="0"/>
          <w:sz w:val="24"/>
          <w:szCs w:val="24"/>
        </w:rPr>
      </w:pPr>
    </w:p>
    <w:p w:rsidR="00216940" w:rsidRPr="008C0AF1" w:rsidRDefault="00216940">
      <w:pPr>
        <w:widowControl w:val="0"/>
        <w:spacing w:line="360" w:lineRule="auto"/>
        <w:jc w:val="both"/>
        <w:rPr>
          <w:rFonts w:ascii="Bookman Old Style" w:hAnsi="Bookman Old Style" w:cs="Bookman Old Style"/>
          <w:snapToGrid w:val="0"/>
          <w:sz w:val="24"/>
          <w:szCs w:val="24"/>
        </w:rPr>
      </w:pPr>
      <w:r w:rsidRPr="008C0AF1">
        <w:rPr>
          <w:rFonts w:ascii="Bookman Old Style" w:hAnsi="Bookman Old Style" w:cs="Bookman Old Style"/>
          <w:snapToGrid w:val="0"/>
          <w:sz w:val="24"/>
          <w:szCs w:val="24"/>
        </w:rPr>
        <w:t>[Insert appropriate damage instructions.]</w:t>
      </w:r>
    </w:p>
    <w:p w:rsidR="00216940" w:rsidRPr="008C0AF1" w:rsidRDefault="00216940">
      <w:pPr>
        <w:widowControl w:val="0"/>
        <w:spacing w:line="360" w:lineRule="auto"/>
        <w:jc w:val="both"/>
        <w:rPr>
          <w:rFonts w:ascii="Bookman Old Style" w:hAnsi="Bookman Old Style" w:cs="Bookman Old Style"/>
          <w:snapToGrid w:val="0"/>
          <w:sz w:val="24"/>
          <w:szCs w:val="24"/>
        </w:rPr>
      </w:pPr>
    </w:p>
    <w:p w:rsidR="00216940" w:rsidRPr="008C0AF1" w:rsidRDefault="00216940">
      <w:pPr>
        <w:widowControl w:val="0"/>
        <w:spacing w:line="360" w:lineRule="auto"/>
        <w:jc w:val="both"/>
        <w:rPr>
          <w:rFonts w:ascii="Bookman Old Style" w:hAnsi="Bookman Old Style" w:cs="Bookman Old Style"/>
          <w:snapToGrid w:val="0"/>
          <w:sz w:val="24"/>
          <w:szCs w:val="24"/>
        </w:rPr>
      </w:pPr>
    </w:p>
    <w:p w:rsidR="00216940" w:rsidRPr="008C0AF1" w:rsidRDefault="00216940">
      <w:pPr>
        <w:tabs>
          <w:tab w:val="right" w:pos="9642"/>
        </w:tabs>
        <w:jc w:val="center"/>
        <w:rPr>
          <w:rFonts w:ascii="Bookman Old Style" w:hAnsi="Bookman Old Style" w:cs="Bookman Old Style"/>
          <w:b/>
          <w:sz w:val="24"/>
          <w:szCs w:val="24"/>
        </w:rPr>
      </w:pPr>
      <w:r w:rsidRPr="008C0AF1">
        <w:rPr>
          <w:rFonts w:ascii="Bookman Old Style" w:hAnsi="Bookman Old Style" w:cs="Bookman Old Style"/>
          <w:b/>
          <w:sz w:val="24"/>
          <w:szCs w:val="24"/>
        </w:rPr>
        <w:t>Use Note</w:t>
      </w:r>
    </w:p>
    <w:p w:rsidR="00216940" w:rsidRPr="008C0AF1" w:rsidRDefault="00216940">
      <w:pPr>
        <w:tabs>
          <w:tab w:val="right" w:pos="9642"/>
        </w:tabs>
        <w:rPr>
          <w:rFonts w:ascii="Bookman Old Style" w:hAnsi="Bookman Old Style" w:cs="Bookman Old Style"/>
          <w:sz w:val="24"/>
          <w:szCs w:val="24"/>
        </w:rPr>
      </w:pPr>
    </w:p>
    <w:p w:rsidR="00216940" w:rsidRPr="008C0AF1" w:rsidRDefault="00216940">
      <w:pPr>
        <w:jc w:val="both"/>
        <w:rPr>
          <w:rFonts w:ascii="Bookman Old Style" w:hAnsi="Bookman Old Style" w:cs="Bookman Old Style"/>
          <w:sz w:val="24"/>
          <w:szCs w:val="24"/>
        </w:rPr>
      </w:pPr>
      <w:r w:rsidRPr="008C0AF1">
        <w:rPr>
          <w:rFonts w:ascii="Bookman Old Style" w:hAnsi="Bookman Old Style" w:cs="Bookman Old Style"/>
          <w:sz w:val="24"/>
          <w:szCs w:val="24"/>
        </w:rPr>
        <w:t xml:space="preserve">This instruction should be used as an introduction to instructions detailing the measure of damages.  Pattern instructions for each element of damages are suggested in </w:t>
      </w:r>
      <w:r w:rsidR="00D35639" w:rsidRPr="008C0AF1">
        <w:rPr>
          <w:rFonts w:ascii="Bookman Old Style" w:hAnsi="Bookman Old Style" w:cs="Bookman Old Style"/>
          <w:sz w:val="24"/>
          <w:szCs w:val="24"/>
        </w:rPr>
        <w:t>Article</w:t>
      </w:r>
      <w:r w:rsidRPr="008C0AF1">
        <w:rPr>
          <w:rFonts w:ascii="Bookman Old Style" w:hAnsi="Bookman Old Style" w:cs="Bookman Old Style"/>
          <w:sz w:val="24"/>
          <w:szCs w:val="24"/>
        </w:rPr>
        <w:t xml:space="preserve"> 20 of these instructions.</w:t>
      </w:r>
    </w:p>
    <w:p w:rsidR="00216940" w:rsidRPr="008C0AF1" w:rsidRDefault="00216940">
      <w:pPr>
        <w:rPr>
          <w:rFonts w:ascii="Bookman Old Style" w:hAnsi="Bookman Old Style" w:cs="Bookman Old Style"/>
          <w:sz w:val="24"/>
          <w:szCs w:val="24"/>
        </w:rPr>
      </w:pPr>
    </w:p>
    <w:p w:rsidR="00216940" w:rsidRPr="008C0AF1" w:rsidRDefault="00216940">
      <w:pPr>
        <w:jc w:val="both"/>
        <w:rPr>
          <w:rFonts w:ascii="Bookman Old Style" w:hAnsi="Bookman Old Style" w:cs="Bookman Old Style"/>
          <w:sz w:val="24"/>
          <w:szCs w:val="24"/>
        </w:rPr>
      </w:pPr>
      <w:r w:rsidRPr="008C0AF1">
        <w:rPr>
          <w:rFonts w:ascii="Bookman Old Style" w:hAnsi="Bookman Old Style" w:cs="Bookman Old Style"/>
          <w:sz w:val="24"/>
          <w:szCs w:val="24"/>
        </w:rPr>
        <w:t>The first bracketed clause should be inserted where the defendant has asserted a legal excuse for the damage or interference. The second bracketed clause should be inserted in replevin actions where the defendant is unable to return the property.</w:t>
      </w:r>
    </w:p>
    <w:p w:rsidR="00216940" w:rsidRPr="008C0AF1" w:rsidRDefault="00216940">
      <w:pPr>
        <w:rPr>
          <w:rFonts w:ascii="Bookman Old Style" w:hAnsi="Bookman Old Style" w:cs="Bookman Old Style"/>
          <w:sz w:val="24"/>
          <w:szCs w:val="24"/>
        </w:rPr>
      </w:pPr>
    </w:p>
    <w:p w:rsidR="00216940" w:rsidRPr="008C0AF1" w:rsidRDefault="00216940">
      <w:pPr>
        <w:pStyle w:val="Heading1"/>
        <w:rPr>
          <w:b/>
          <w:sz w:val="24"/>
          <w:szCs w:val="24"/>
          <w:u w:val="none"/>
        </w:rPr>
      </w:pPr>
      <w:r w:rsidRPr="008C0AF1">
        <w:rPr>
          <w:b/>
          <w:sz w:val="24"/>
          <w:szCs w:val="24"/>
          <w:u w:val="none"/>
        </w:rPr>
        <w:t>Comment</w:t>
      </w:r>
    </w:p>
    <w:p w:rsidR="00003412" w:rsidRPr="008C0AF1" w:rsidRDefault="00003412" w:rsidP="00003412">
      <w:pPr>
        <w:rPr>
          <w:rFonts w:ascii="Bookman Old Style" w:hAnsi="Bookman Old Style"/>
          <w:sz w:val="24"/>
          <w:szCs w:val="24"/>
        </w:rPr>
      </w:pPr>
    </w:p>
    <w:p w:rsidR="00003412" w:rsidRPr="008C0AF1" w:rsidRDefault="00003412" w:rsidP="00003412">
      <w:pPr>
        <w:autoSpaceDE/>
        <w:autoSpaceDN/>
        <w:spacing w:after="240"/>
        <w:jc w:val="both"/>
        <w:rPr>
          <w:rFonts w:ascii="Bookman Old Style" w:hAnsi="Bookman Old Style"/>
          <w:sz w:val="24"/>
          <w:szCs w:val="24"/>
        </w:rPr>
      </w:pPr>
      <w:r w:rsidRPr="008C0AF1">
        <w:rPr>
          <w:rFonts w:ascii="Bookman Old Style" w:hAnsi="Bookman Old Style"/>
          <w:sz w:val="24"/>
          <w:szCs w:val="24"/>
        </w:rPr>
        <w:t xml:space="preserve">In a conversion action, the usual measure of damages is the value of the property at the time of the conversion, plus interest.  </w:t>
      </w:r>
      <w:r w:rsidRPr="008C0AF1">
        <w:rPr>
          <w:rFonts w:ascii="Bookman Old Style" w:hAnsi="Bookman Old Style"/>
          <w:i/>
          <w:sz w:val="24"/>
          <w:szCs w:val="24"/>
        </w:rPr>
        <w:t>Carver v. Quality Inspection &amp; Testing, Inc.</w:t>
      </w:r>
      <w:r w:rsidRPr="008C0AF1">
        <w:rPr>
          <w:rFonts w:ascii="Bookman Old Style" w:hAnsi="Bookman Old Style"/>
          <w:sz w:val="24"/>
          <w:szCs w:val="24"/>
        </w:rPr>
        <w:t xml:space="preserve">, 946 P.2d 450, 456 (Alaska 1997).  </w:t>
      </w:r>
    </w:p>
    <w:p w:rsidR="00003412" w:rsidRPr="008C0AF1" w:rsidRDefault="00003412" w:rsidP="00003412">
      <w:pPr>
        <w:autoSpaceDE/>
        <w:autoSpaceDN/>
        <w:spacing w:after="240"/>
        <w:jc w:val="both"/>
        <w:rPr>
          <w:rFonts w:ascii="Bookman Old Style" w:hAnsi="Bookman Old Style"/>
          <w:sz w:val="24"/>
          <w:szCs w:val="24"/>
        </w:rPr>
      </w:pPr>
      <w:r w:rsidRPr="008C0AF1">
        <w:rPr>
          <w:rFonts w:ascii="Bookman Old Style" w:hAnsi="Bookman Old Style"/>
          <w:sz w:val="24"/>
          <w:szCs w:val="24"/>
        </w:rPr>
        <w:t xml:space="preserve">In a replevin action, the usual remedy is return of the property, plus damages for the value of the use of the property during the period when the property was wrongfully detained.  </w:t>
      </w:r>
      <w:r w:rsidRPr="008C0AF1">
        <w:rPr>
          <w:rFonts w:ascii="Bookman Old Style" w:hAnsi="Bookman Old Style"/>
          <w:i/>
          <w:sz w:val="24"/>
          <w:szCs w:val="24"/>
        </w:rPr>
        <w:t>Rollins v. Leibold</w:t>
      </w:r>
      <w:r w:rsidRPr="008C0AF1">
        <w:rPr>
          <w:rFonts w:ascii="Bookman Old Style" w:hAnsi="Bookman Old Style"/>
          <w:sz w:val="24"/>
          <w:szCs w:val="24"/>
        </w:rPr>
        <w:t xml:space="preserve">, 512 P.2d 937, 944 (Alaska 1973); </w:t>
      </w:r>
      <w:r w:rsidRPr="008C0AF1">
        <w:rPr>
          <w:rFonts w:ascii="Bookman Old Style" w:hAnsi="Bookman Old Style"/>
          <w:i/>
          <w:sz w:val="24"/>
          <w:szCs w:val="24"/>
        </w:rPr>
        <w:t>see also Ben Lomond, Inc. v. Campbell</w:t>
      </w:r>
      <w:r w:rsidRPr="008C0AF1">
        <w:rPr>
          <w:rFonts w:ascii="Bookman Old Style" w:hAnsi="Bookman Old Style"/>
          <w:sz w:val="24"/>
          <w:szCs w:val="24"/>
        </w:rPr>
        <w:t xml:space="preserve">, 691 P.2d 1042, 1045 (Alaska 1984).  If the property cannot be returned, the remedy is the value of the property, plus interest.  </w:t>
      </w:r>
      <w:r w:rsidRPr="008C0AF1">
        <w:rPr>
          <w:rFonts w:ascii="Bookman Old Style" w:hAnsi="Bookman Old Style"/>
          <w:i/>
          <w:sz w:val="24"/>
          <w:szCs w:val="24"/>
        </w:rPr>
        <w:t>Rollins</w:t>
      </w:r>
      <w:r w:rsidRPr="008C0AF1">
        <w:rPr>
          <w:rFonts w:ascii="Bookman Old Style" w:hAnsi="Bookman Old Style"/>
          <w:sz w:val="24"/>
          <w:szCs w:val="24"/>
        </w:rPr>
        <w:t xml:space="preserve">, 512 P.2d at 944.  </w:t>
      </w:r>
    </w:p>
    <w:p w:rsidR="00003412" w:rsidRPr="008C0AF1" w:rsidRDefault="00003412" w:rsidP="00003412">
      <w:pPr>
        <w:autoSpaceDE/>
        <w:autoSpaceDN/>
        <w:spacing w:after="240"/>
        <w:jc w:val="both"/>
        <w:rPr>
          <w:rFonts w:ascii="Bookman Old Style" w:hAnsi="Bookman Old Style"/>
          <w:sz w:val="24"/>
          <w:szCs w:val="24"/>
        </w:rPr>
      </w:pPr>
      <w:r w:rsidRPr="008C0AF1">
        <w:rPr>
          <w:rFonts w:ascii="Bookman Old Style" w:hAnsi="Bookman Old Style"/>
          <w:sz w:val="24"/>
          <w:szCs w:val="24"/>
        </w:rPr>
        <w:t xml:space="preserve">For trespass to chattels, the remedy depends on the damage to the property.  If the property is destroyed, the remedy is the market value of the property.  If the property is damaged, but not destroyed, the usual remedy is: 1) the difference between the value of the property before the damage and the value after the damage, or 2) the cost of repair, plus any remaining diminution in </w:t>
      </w:r>
      <w:r w:rsidRPr="008C0AF1">
        <w:rPr>
          <w:rFonts w:ascii="Bookman Old Style" w:hAnsi="Bookman Old Style"/>
          <w:sz w:val="24"/>
          <w:szCs w:val="24"/>
        </w:rPr>
        <w:lastRenderedPageBreak/>
        <w:t xml:space="preserve">value.  </w:t>
      </w:r>
      <w:r w:rsidRPr="008C0AF1">
        <w:rPr>
          <w:rFonts w:ascii="Bookman Old Style" w:hAnsi="Bookman Old Style"/>
          <w:i/>
          <w:sz w:val="24"/>
          <w:szCs w:val="24"/>
        </w:rPr>
        <w:t>City of Seward v. Afognak Logging</w:t>
      </w:r>
      <w:r w:rsidRPr="008C0AF1">
        <w:rPr>
          <w:rFonts w:ascii="Bookman Old Style" w:hAnsi="Bookman Old Style"/>
          <w:sz w:val="24"/>
          <w:szCs w:val="24"/>
        </w:rPr>
        <w:t xml:space="preserve">, 31 P.3d 780, 787 (Alaska 2001); 1 D. Dobbs, Law of Remedies </w:t>
      </w:r>
      <w:r w:rsidRPr="008C0AF1">
        <w:rPr>
          <w:rFonts w:ascii="Bookman Old Style" w:hAnsi="Bookman Old Style" w:cs="Calibri"/>
          <w:sz w:val="24"/>
          <w:szCs w:val="24"/>
        </w:rPr>
        <w:t>§ </w:t>
      </w:r>
      <w:r w:rsidRPr="008C0AF1">
        <w:rPr>
          <w:rFonts w:ascii="Bookman Old Style" w:hAnsi="Bookman Old Style"/>
          <w:sz w:val="24"/>
          <w:szCs w:val="24"/>
        </w:rPr>
        <w:t xml:space="preserve">5.13 (2d ed. 1993).  Loss of use damages may be awarded during the period when repairs are being completed, </w:t>
      </w:r>
      <w:r w:rsidRPr="008C0AF1">
        <w:rPr>
          <w:rFonts w:ascii="Bookman Old Style" w:hAnsi="Bookman Old Style"/>
          <w:i/>
          <w:sz w:val="24"/>
          <w:szCs w:val="24"/>
        </w:rPr>
        <w:t>Burgess Construction Co. v. Hancock</w:t>
      </w:r>
      <w:r w:rsidRPr="008C0AF1">
        <w:rPr>
          <w:rFonts w:ascii="Bookman Old Style" w:hAnsi="Bookman Old Style"/>
          <w:sz w:val="24"/>
          <w:szCs w:val="24"/>
        </w:rPr>
        <w:t xml:space="preserve">, 514 P.2d 236, 238 (Alaska 1973), or during the time required to replace the property, </w:t>
      </w:r>
      <w:r w:rsidRPr="008C0AF1">
        <w:rPr>
          <w:rFonts w:ascii="Bookman Old Style" w:hAnsi="Bookman Old Style"/>
          <w:i/>
          <w:sz w:val="24"/>
          <w:szCs w:val="24"/>
        </w:rPr>
        <w:t>Alaska Const. Equip. Inc. v. Star Trucking Co</w:t>
      </w:r>
      <w:r w:rsidRPr="008C0AF1">
        <w:rPr>
          <w:rFonts w:ascii="Bookman Old Style" w:hAnsi="Bookman Old Style"/>
          <w:sz w:val="24"/>
          <w:szCs w:val="24"/>
        </w:rPr>
        <w:t>., 128 P.3d 164 (Alaska 2006).</w:t>
      </w:r>
    </w:p>
    <w:p w:rsidR="00003412" w:rsidRPr="008C0AF1" w:rsidRDefault="00003412" w:rsidP="00003412">
      <w:pPr>
        <w:autoSpaceDE/>
        <w:autoSpaceDN/>
        <w:spacing w:after="240"/>
        <w:jc w:val="both"/>
        <w:rPr>
          <w:rFonts w:ascii="Bookman Old Style" w:hAnsi="Bookman Old Style"/>
          <w:sz w:val="24"/>
          <w:szCs w:val="24"/>
        </w:rPr>
      </w:pPr>
      <w:r w:rsidRPr="008C0AF1">
        <w:rPr>
          <w:rFonts w:ascii="Bookman Old Style" w:hAnsi="Bookman Old Style"/>
          <w:sz w:val="24"/>
          <w:szCs w:val="24"/>
        </w:rPr>
        <w:t>For additional information regarding these remedies, see Comments to Instructions 20.14 to 20.17.</w:t>
      </w:r>
    </w:p>
    <w:p w:rsidR="00216940" w:rsidRPr="008C0AF1" w:rsidRDefault="00216940" w:rsidP="00003412">
      <w:pPr>
        <w:tabs>
          <w:tab w:val="right" w:pos="9642"/>
        </w:tabs>
        <w:jc w:val="both"/>
        <w:rPr>
          <w:rFonts w:ascii="Bookman Old Style" w:hAnsi="Bookman Old Style" w:cs="Bookman Old Style"/>
          <w:sz w:val="24"/>
          <w:szCs w:val="24"/>
        </w:rPr>
      </w:pPr>
    </w:p>
    <w:sectPr w:rsidR="00216940" w:rsidRPr="008C0AF1">
      <w:headerReference w:type="default" r:id="rId7"/>
      <w:footerReference w:type="default" r:id="rId8"/>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973" w:rsidRDefault="001F7973">
      <w:r>
        <w:separator/>
      </w:r>
    </w:p>
  </w:endnote>
  <w:endnote w:type="continuationSeparator" w:id="0">
    <w:p w:rsidR="001F7973" w:rsidRDefault="001F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940" w:rsidRPr="008C0AF1" w:rsidRDefault="00181A45">
    <w:pPr>
      <w:pStyle w:val="Footer"/>
      <w:tabs>
        <w:tab w:val="clear" w:pos="8640"/>
        <w:tab w:val="right" w:pos="9360"/>
      </w:tabs>
      <w:rPr>
        <w:rFonts w:ascii="Bookman Old Style" w:hAnsi="Bookman Old Style" w:cs="Bookman Old Style"/>
        <w:sz w:val="24"/>
        <w:szCs w:val="24"/>
      </w:rPr>
    </w:pPr>
    <w:r w:rsidRPr="008C0AF1">
      <w:rPr>
        <w:rFonts w:ascii="Bookman Old Style" w:hAnsi="Bookman Old Style" w:cs="Bookman Old Style"/>
        <w:sz w:val="24"/>
        <w:szCs w:val="24"/>
      </w:rPr>
      <w:t>2015</w:t>
    </w:r>
    <w:r w:rsidR="008C0AF1" w:rsidRPr="008C0AF1">
      <w:rPr>
        <w:rFonts w:ascii="Bookman Old Style" w:hAnsi="Bookman Old Style" w:cs="Bookman Old Style"/>
        <w:sz w:val="24"/>
        <w:szCs w:val="24"/>
      </w:rPr>
      <w:tab/>
    </w:r>
    <w:r w:rsidR="008C0AF1" w:rsidRPr="008C0AF1">
      <w:rPr>
        <w:rFonts w:ascii="Bookman Old Style" w:hAnsi="Bookman Old Style" w:cs="Bookman Old Style"/>
        <w:sz w:val="24"/>
        <w:szCs w:val="24"/>
      </w:rPr>
      <w:tab/>
      <w:t xml:space="preserve">18.06 - Page </w:t>
    </w:r>
    <w:r w:rsidR="008C0AF1" w:rsidRPr="008C0AF1">
      <w:rPr>
        <w:rFonts w:ascii="Bookman Old Style" w:hAnsi="Bookman Old Style" w:cs="Bookman Old Style"/>
        <w:sz w:val="24"/>
        <w:szCs w:val="24"/>
      </w:rPr>
      <w:fldChar w:fldCharType="begin"/>
    </w:r>
    <w:r w:rsidR="008C0AF1" w:rsidRPr="008C0AF1">
      <w:rPr>
        <w:rFonts w:ascii="Bookman Old Style" w:hAnsi="Bookman Old Style" w:cs="Bookman Old Style"/>
        <w:sz w:val="24"/>
        <w:szCs w:val="24"/>
      </w:rPr>
      <w:instrText xml:space="preserve"> PAGE  \* Arabic  \* MERGEFORMAT </w:instrText>
    </w:r>
    <w:r w:rsidR="008C0AF1" w:rsidRPr="008C0AF1">
      <w:rPr>
        <w:rFonts w:ascii="Bookman Old Style" w:hAnsi="Bookman Old Style" w:cs="Bookman Old Style"/>
        <w:sz w:val="24"/>
        <w:szCs w:val="24"/>
      </w:rPr>
      <w:fldChar w:fldCharType="separate"/>
    </w:r>
    <w:r w:rsidR="00EA7B00">
      <w:rPr>
        <w:rFonts w:ascii="Bookman Old Style" w:hAnsi="Bookman Old Style" w:cs="Bookman Old Style"/>
        <w:noProof/>
        <w:sz w:val="24"/>
        <w:szCs w:val="24"/>
      </w:rPr>
      <w:t>1</w:t>
    </w:r>
    <w:r w:rsidR="008C0AF1" w:rsidRPr="008C0AF1">
      <w:rPr>
        <w:rFonts w:ascii="Bookman Old Style" w:hAnsi="Bookman Old Style" w:cs="Bookman Old Style"/>
        <w:sz w:val="24"/>
        <w:szCs w:val="24"/>
      </w:rPr>
      <w:fldChar w:fldCharType="end"/>
    </w:r>
    <w:r w:rsidR="008C0AF1" w:rsidRPr="008C0AF1">
      <w:rPr>
        <w:rFonts w:ascii="Bookman Old Style" w:hAnsi="Bookman Old Style" w:cs="Bookman Old Style"/>
        <w:sz w:val="24"/>
        <w:szCs w:val="24"/>
      </w:rPr>
      <w:t xml:space="preserve"> of </w:t>
    </w:r>
    <w:r w:rsidR="008C0AF1" w:rsidRPr="008C0AF1">
      <w:rPr>
        <w:rFonts w:ascii="Bookman Old Style" w:hAnsi="Bookman Old Style" w:cs="Bookman Old Style"/>
        <w:sz w:val="24"/>
        <w:szCs w:val="24"/>
      </w:rPr>
      <w:fldChar w:fldCharType="begin"/>
    </w:r>
    <w:r w:rsidR="008C0AF1" w:rsidRPr="008C0AF1">
      <w:rPr>
        <w:rFonts w:ascii="Bookman Old Style" w:hAnsi="Bookman Old Style" w:cs="Bookman Old Style"/>
        <w:sz w:val="24"/>
        <w:szCs w:val="24"/>
      </w:rPr>
      <w:instrText xml:space="preserve"> NUMPAGES  \* Arabic  \* MERGEFORMAT </w:instrText>
    </w:r>
    <w:r w:rsidR="008C0AF1" w:rsidRPr="008C0AF1">
      <w:rPr>
        <w:rFonts w:ascii="Bookman Old Style" w:hAnsi="Bookman Old Style" w:cs="Bookman Old Style"/>
        <w:sz w:val="24"/>
        <w:szCs w:val="24"/>
      </w:rPr>
      <w:fldChar w:fldCharType="separate"/>
    </w:r>
    <w:r w:rsidR="00EA7B00">
      <w:rPr>
        <w:rFonts w:ascii="Bookman Old Style" w:hAnsi="Bookman Old Style" w:cs="Bookman Old Style"/>
        <w:noProof/>
        <w:sz w:val="24"/>
        <w:szCs w:val="24"/>
      </w:rPr>
      <w:t>2</w:t>
    </w:r>
    <w:r w:rsidR="008C0AF1" w:rsidRPr="008C0AF1">
      <w:rPr>
        <w:rFonts w:ascii="Bookman Old Style" w:hAnsi="Bookman Old Style" w:cs="Bookman Old Style"/>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973" w:rsidRDefault="001F7973">
      <w:r>
        <w:separator/>
      </w:r>
    </w:p>
  </w:footnote>
  <w:footnote w:type="continuationSeparator" w:id="0">
    <w:p w:rsidR="001F7973" w:rsidRDefault="001F7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940" w:rsidRDefault="0021694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Bookman Old Style" w:hAnsi="Bookman Old Style" w:cs="Bookman Old Style"/>
        <w:snapToGrid w:val="0"/>
        <w:vanish/>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17E"/>
    <w:rsid w:val="00003412"/>
    <w:rsid w:val="00054B67"/>
    <w:rsid w:val="000C5BBF"/>
    <w:rsid w:val="0011117E"/>
    <w:rsid w:val="00150D27"/>
    <w:rsid w:val="00181A45"/>
    <w:rsid w:val="001F7973"/>
    <w:rsid w:val="00216940"/>
    <w:rsid w:val="004A379F"/>
    <w:rsid w:val="004D7C62"/>
    <w:rsid w:val="006E1B78"/>
    <w:rsid w:val="007871AC"/>
    <w:rsid w:val="008C0AF1"/>
    <w:rsid w:val="008D1AE2"/>
    <w:rsid w:val="008F2F5A"/>
    <w:rsid w:val="00CF4731"/>
    <w:rsid w:val="00D35639"/>
    <w:rsid w:val="00D43173"/>
    <w:rsid w:val="00E81321"/>
    <w:rsid w:val="00EA7B00"/>
    <w:rsid w:val="00EE7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tabs>
        <w:tab w:val="right" w:pos="9642"/>
      </w:tabs>
      <w:jc w:val="center"/>
      <w:outlineLvl w:val="0"/>
    </w:pPr>
    <w:rPr>
      <w:rFonts w:ascii="Bookman Old Style" w:hAnsi="Bookman Old Style" w:cs="Bookman Old Style"/>
      <w:sz w:val="26"/>
      <w:szCs w:val="26"/>
      <w:u w:val="single"/>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character" w:styleId="PageNumber">
    <w:name w:val="page number"/>
    <w:basedOn w:val="DefaultParagraphFont"/>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tabs>
        <w:tab w:val="right" w:pos="9642"/>
      </w:tabs>
      <w:jc w:val="center"/>
      <w:outlineLvl w:val="0"/>
    </w:pPr>
    <w:rPr>
      <w:rFonts w:ascii="Bookman Old Style" w:hAnsi="Bookman Old Style" w:cs="Bookman Old Style"/>
      <w:sz w:val="26"/>
      <w:szCs w:val="26"/>
      <w:u w:val="single"/>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character" w:styleId="PageNumber">
    <w:name w:val="page number"/>
    <w:basedOn w:val="DefaultParagraphFont"/>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korzechowski</dc:creator>
  <cp:lastModifiedBy>Michael Merrington</cp:lastModifiedBy>
  <cp:revision>2</cp:revision>
  <cp:lastPrinted>2015-10-07T01:34:00Z</cp:lastPrinted>
  <dcterms:created xsi:type="dcterms:W3CDTF">2017-04-04T19:57:00Z</dcterms:created>
  <dcterms:modified xsi:type="dcterms:W3CDTF">2017-04-04T19:57:00Z</dcterms:modified>
</cp:coreProperties>
</file>