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BE" w:rsidRPr="002978F1" w:rsidRDefault="00635ABE" w:rsidP="0050365B">
      <w:pPr>
        <w:spacing w:line="360" w:lineRule="auto"/>
        <w:jc w:val="both"/>
        <w:rPr>
          <w:rFonts w:ascii="Bookman Old Style" w:hAnsi="Bookman Old Style"/>
          <w:b/>
          <w:caps/>
          <w:sz w:val="26"/>
          <w:szCs w:val="26"/>
        </w:rPr>
      </w:pPr>
      <w:bookmarkStart w:id="0" w:name="_GoBack"/>
      <w:bookmarkEnd w:id="0"/>
      <w:r w:rsidRPr="002978F1">
        <w:rPr>
          <w:rFonts w:ascii="Bookman Old Style" w:hAnsi="Bookman Old Style"/>
          <w:b/>
          <w:sz w:val="26"/>
          <w:szCs w:val="26"/>
        </w:rPr>
        <w:t>17.0</w:t>
      </w:r>
      <w:r w:rsidR="00CB25BA" w:rsidRPr="002978F1">
        <w:rPr>
          <w:rFonts w:ascii="Bookman Old Style" w:hAnsi="Bookman Old Style"/>
          <w:b/>
          <w:sz w:val="26"/>
          <w:szCs w:val="26"/>
        </w:rPr>
        <w:t>5</w:t>
      </w:r>
      <w:r w:rsidR="0050365B" w:rsidRPr="002978F1">
        <w:rPr>
          <w:rFonts w:ascii="Bookman Old Style" w:hAnsi="Bookman Old Style"/>
          <w:b/>
          <w:sz w:val="26"/>
          <w:szCs w:val="26"/>
        </w:rPr>
        <w:tab/>
      </w:r>
      <w:r w:rsidR="0050365B" w:rsidRPr="002978F1">
        <w:rPr>
          <w:rFonts w:ascii="Bookman Old Style" w:hAnsi="Bookman Old Style"/>
          <w:b/>
          <w:caps/>
          <w:sz w:val="26"/>
          <w:szCs w:val="26"/>
        </w:rPr>
        <w:t>Negligent Misrepresentation</w:t>
      </w:r>
    </w:p>
    <w:p w:rsidR="00635ABE" w:rsidRPr="002978F1" w:rsidRDefault="00635ABE" w:rsidP="0050365B">
      <w:pPr>
        <w:spacing w:line="360" w:lineRule="auto"/>
        <w:jc w:val="both"/>
        <w:rPr>
          <w:rFonts w:ascii="Bookman Old Style" w:hAnsi="Bookman Old Style"/>
          <w:b/>
          <w:sz w:val="26"/>
          <w:szCs w:val="26"/>
        </w:rPr>
      </w:pPr>
    </w:p>
    <w:p w:rsidR="00635ABE" w:rsidRDefault="009002A6" w:rsidP="005E3DDD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  <w:r w:rsidRPr="002978F1">
        <w:rPr>
          <w:rFonts w:ascii="Bookman Old Style" w:hAnsi="Bookman Old Style"/>
          <w:sz w:val="26"/>
          <w:szCs w:val="26"/>
        </w:rPr>
        <w:t>The plaintiff claims that [</w:t>
      </w:r>
      <w:r w:rsidR="00635ABE" w:rsidRPr="002978F1">
        <w:rPr>
          <w:rFonts w:ascii="Bookman Old Style" w:hAnsi="Bookman Old Style"/>
          <w:sz w:val="26"/>
          <w:szCs w:val="26"/>
        </w:rPr>
        <w:t>he</w:t>
      </w:r>
      <w:r w:rsidRPr="002978F1">
        <w:rPr>
          <w:rFonts w:ascii="Bookman Old Style" w:hAnsi="Bookman Old Style"/>
          <w:sz w:val="26"/>
          <w:szCs w:val="26"/>
        </w:rPr>
        <w:t>]</w:t>
      </w:r>
      <w:r w:rsidR="00802C4A" w:rsidRPr="002978F1">
        <w:rPr>
          <w:rFonts w:ascii="Bookman Old Style" w:hAnsi="Bookman Old Style"/>
          <w:sz w:val="26"/>
          <w:szCs w:val="26"/>
        </w:rPr>
        <w:t>[she]</w:t>
      </w:r>
      <w:r w:rsidR="00635ABE" w:rsidRPr="002978F1">
        <w:rPr>
          <w:rFonts w:ascii="Bookman Old Style" w:hAnsi="Bookman Old Style"/>
          <w:sz w:val="26"/>
          <w:szCs w:val="26"/>
        </w:rPr>
        <w:t xml:space="preserve"> was harmed because </w:t>
      </w:r>
      <w:r w:rsidR="00802C4A" w:rsidRPr="002978F1">
        <w:rPr>
          <w:rFonts w:ascii="Bookman Old Style" w:hAnsi="Bookman Old Style"/>
          <w:sz w:val="26"/>
          <w:szCs w:val="26"/>
        </w:rPr>
        <w:t xml:space="preserve">the </w:t>
      </w:r>
      <w:r w:rsidR="00635ABE" w:rsidRPr="002978F1">
        <w:rPr>
          <w:rFonts w:ascii="Bookman Old Style" w:hAnsi="Bookman Old Style"/>
          <w:sz w:val="26"/>
          <w:szCs w:val="26"/>
        </w:rPr>
        <w:t xml:space="preserve">defendant made a negligent misrepresentation to </w:t>
      </w:r>
      <w:r w:rsidR="00802C4A" w:rsidRPr="002978F1">
        <w:rPr>
          <w:rFonts w:ascii="Bookman Old Style" w:hAnsi="Bookman Old Style"/>
          <w:sz w:val="26"/>
          <w:szCs w:val="26"/>
        </w:rPr>
        <w:t xml:space="preserve">the </w:t>
      </w:r>
      <w:r w:rsidR="00635ABE" w:rsidRPr="002978F1">
        <w:rPr>
          <w:rFonts w:ascii="Bookman Old Style" w:hAnsi="Bookman Old Style"/>
          <w:sz w:val="26"/>
          <w:szCs w:val="26"/>
        </w:rPr>
        <w:t xml:space="preserve">plaintiff.  To win on this claim, </w:t>
      </w:r>
      <w:r w:rsidR="00802C4A" w:rsidRPr="002978F1">
        <w:rPr>
          <w:rFonts w:ascii="Bookman Old Style" w:hAnsi="Bookman Old Style"/>
          <w:sz w:val="26"/>
          <w:szCs w:val="26"/>
        </w:rPr>
        <w:t xml:space="preserve">the </w:t>
      </w:r>
      <w:r w:rsidR="00635ABE" w:rsidRPr="002978F1">
        <w:rPr>
          <w:rFonts w:ascii="Bookman Old Style" w:hAnsi="Bookman Old Style"/>
          <w:sz w:val="26"/>
          <w:szCs w:val="26"/>
        </w:rPr>
        <w:t>plaintiff must prove it is more likely true than not true that:</w:t>
      </w:r>
    </w:p>
    <w:p w:rsidR="005E3DDD" w:rsidRDefault="005E3DDD" w:rsidP="005E3DDD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</w:p>
    <w:p w:rsidR="00635ABE" w:rsidRDefault="009002A6" w:rsidP="005E3DDD">
      <w:pPr>
        <w:spacing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 w:rsidRPr="002978F1">
        <w:rPr>
          <w:rFonts w:ascii="Bookman Old Style" w:hAnsi="Bookman Old Style"/>
          <w:sz w:val="26"/>
          <w:szCs w:val="26"/>
        </w:rPr>
        <w:t>(1)</w:t>
      </w:r>
      <w:r w:rsidRPr="002978F1">
        <w:rPr>
          <w:rFonts w:ascii="Bookman Old Style" w:hAnsi="Bookman Old Style"/>
          <w:sz w:val="26"/>
          <w:szCs w:val="26"/>
        </w:rPr>
        <w:tab/>
        <w:t>the d</w:t>
      </w:r>
      <w:r w:rsidR="00635ABE" w:rsidRPr="002978F1">
        <w:rPr>
          <w:rFonts w:ascii="Bookman Old Style" w:hAnsi="Bookman Old Style"/>
          <w:sz w:val="26"/>
          <w:szCs w:val="26"/>
        </w:rPr>
        <w:t xml:space="preserve">efendant made </w:t>
      </w:r>
      <w:r w:rsidR="00FC51AD" w:rsidRPr="002978F1">
        <w:rPr>
          <w:rFonts w:ascii="Bookman Old Style" w:hAnsi="Bookman Old Style"/>
          <w:sz w:val="26"/>
          <w:szCs w:val="26"/>
        </w:rPr>
        <w:t xml:space="preserve">a </w:t>
      </w:r>
      <w:r w:rsidR="00C45AD9" w:rsidRPr="002978F1">
        <w:rPr>
          <w:rFonts w:ascii="Bookman Old Style" w:hAnsi="Bookman Old Style"/>
          <w:sz w:val="26"/>
          <w:szCs w:val="26"/>
        </w:rPr>
        <w:t>statement</w:t>
      </w:r>
      <w:r w:rsidRPr="002978F1">
        <w:rPr>
          <w:rFonts w:ascii="Bookman Old Style" w:hAnsi="Bookman Old Style"/>
          <w:sz w:val="26"/>
          <w:szCs w:val="26"/>
        </w:rPr>
        <w:t xml:space="preserve"> in the course of business, </w:t>
      </w:r>
      <w:r w:rsidR="00635ABE" w:rsidRPr="002978F1">
        <w:rPr>
          <w:rFonts w:ascii="Bookman Old Style" w:hAnsi="Bookman Old Style"/>
          <w:sz w:val="26"/>
          <w:szCs w:val="26"/>
        </w:rPr>
        <w:t xml:space="preserve">employment, or </w:t>
      </w:r>
      <w:r w:rsidRPr="002978F1">
        <w:rPr>
          <w:rFonts w:ascii="Bookman Old Style" w:hAnsi="Bookman Old Style"/>
          <w:sz w:val="26"/>
          <w:szCs w:val="26"/>
        </w:rPr>
        <w:t>some other enterprise</w:t>
      </w:r>
      <w:r w:rsidR="00635ABE" w:rsidRPr="002978F1">
        <w:rPr>
          <w:rFonts w:ascii="Bookman Old Style" w:hAnsi="Bookman Old Style"/>
          <w:sz w:val="26"/>
          <w:szCs w:val="26"/>
        </w:rPr>
        <w:t xml:space="preserve"> </w:t>
      </w:r>
      <w:r w:rsidR="00802C4A" w:rsidRPr="002978F1">
        <w:rPr>
          <w:rFonts w:ascii="Bookman Old Style" w:hAnsi="Bookman Old Style"/>
          <w:sz w:val="26"/>
          <w:szCs w:val="26"/>
        </w:rPr>
        <w:t xml:space="preserve">or transaction </w:t>
      </w:r>
      <w:r w:rsidRPr="002978F1">
        <w:rPr>
          <w:rFonts w:ascii="Bookman Old Style" w:hAnsi="Bookman Old Style"/>
          <w:sz w:val="26"/>
          <w:szCs w:val="26"/>
        </w:rPr>
        <w:t xml:space="preserve">in </w:t>
      </w:r>
      <w:r w:rsidR="00635ABE" w:rsidRPr="002978F1">
        <w:rPr>
          <w:rFonts w:ascii="Bookman Old Style" w:hAnsi="Bookman Old Style"/>
          <w:sz w:val="26"/>
          <w:szCs w:val="26"/>
        </w:rPr>
        <w:t>whi</w:t>
      </w:r>
      <w:r w:rsidRPr="002978F1">
        <w:rPr>
          <w:rFonts w:ascii="Bookman Old Style" w:hAnsi="Bookman Old Style"/>
          <w:sz w:val="26"/>
          <w:szCs w:val="26"/>
        </w:rPr>
        <w:t>ch [he][she] had a financial</w:t>
      </w:r>
      <w:r w:rsidR="00635ABE" w:rsidRPr="002978F1">
        <w:rPr>
          <w:rFonts w:ascii="Bookman Old Style" w:hAnsi="Bookman Old Style"/>
          <w:sz w:val="26"/>
          <w:szCs w:val="26"/>
        </w:rPr>
        <w:t xml:space="preserve"> interest;</w:t>
      </w:r>
    </w:p>
    <w:p w:rsidR="005E3DDD" w:rsidRPr="002978F1" w:rsidRDefault="005E3DDD" w:rsidP="005E3DDD">
      <w:pPr>
        <w:spacing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</w:p>
    <w:p w:rsidR="00635ABE" w:rsidRPr="002978F1" w:rsidRDefault="009002A6" w:rsidP="005E3DDD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  <w:r w:rsidRPr="002978F1">
        <w:rPr>
          <w:rFonts w:ascii="Bookman Old Style" w:hAnsi="Bookman Old Style"/>
          <w:sz w:val="26"/>
          <w:szCs w:val="26"/>
        </w:rPr>
        <w:t>(2)</w:t>
      </w:r>
      <w:r w:rsidRPr="002978F1">
        <w:rPr>
          <w:rFonts w:ascii="Bookman Old Style" w:hAnsi="Bookman Old Style"/>
          <w:sz w:val="26"/>
          <w:szCs w:val="26"/>
        </w:rPr>
        <w:tab/>
        <w:t>t</w:t>
      </w:r>
      <w:r w:rsidR="00635ABE" w:rsidRPr="002978F1">
        <w:rPr>
          <w:rFonts w:ascii="Bookman Old Style" w:hAnsi="Bookman Old Style"/>
          <w:sz w:val="26"/>
          <w:szCs w:val="26"/>
        </w:rPr>
        <w:t xml:space="preserve">he </w:t>
      </w:r>
      <w:r w:rsidR="00C45AD9" w:rsidRPr="002978F1">
        <w:rPr>
          <w:rFonts w:ascii="Bookman Old Style" w:hAnsi="Bookman Old Style"/>
          <w:sz w:val="26"/>
          <w:szCs w:val="26"/>
        </w:rPr>
        <w:t>statement</w:t>
      </w:r>
      <w:r w:rsidR="00635ABE" w:rsidRPr="002978F1">
        <w:rPr>
          <w:rFonts w:ascii="Bookman Old Style" w:hAnsi="Bookman Old Style"/>
          <w:sz w:val="26"/>
          <w:szCs w:val="26"/>
        </w:rPr>
        <w:t xml:space="preserve"> </w:t>
      </w:r>
      <w:r w:rsidR="00C45AD9" w:rsidRPr="002978F1">
        <w:rPr>
          <w:rFonts w:ascii="Bookman Old Style" w:hAnsi="Bookman Old Style"/>
          <w:sz w:val="26"/>
          <w:szCs w:val="26"/>
        </w:rPr>
        <w:t>was false at the time it was made</w:t>
      </w:r>
      <w:r w:rsidR="00635ABE" w:rsidRPr="002978F1">
        <w:rPr>
          <w:rFonts w:ascii="Bookman Old Style" w:hAnsi="Bookman Old Style"/>
          <w:sz w:val="26"/>
          <w:szCs w:val="26"/>
        </w:rPr>
        <w:t>;</w:t>
      </w:r>
    </w:p>
    <w:p w:rsidR="005E3DDD" w:rsidRDefault="005E3DDD" w:rsidP="005E3DDD">
      <w:pPr>
        <w:spacing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</w:p>
    <w:p w:rsidR="00FC51AD" w:rsidRDefault="00FC51AD" w:rsidP="005E3DDD">
      <w:pPr>
        <w:spacing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 w:rsidRPr="002978F1">
        <w:rPr>
          <w:rFonts w:ascii="Bookman Old Style" w:hAnsi="Bookman Old Style"/>
          <w:sz w:val="26"/>
          <w:szCs w:val="26"/>
        </w:rPr>
        <w:t>(3)</w:t>
      </w:r>
      <w:r w:rsidRPr="002978F1">
        <w:rPr>
          <w:rFonts w:ascii="Bookman Old Style" w:hAnsi="Bookman Old Style"/>
          <w:sz w:val="26"/>
          <w:szCs w:val="26"/>
        </w:rPr>
        <w:tab/>
        <w:t>the defendant failed to use reasonable care when</w:t>
      </w:r>
      <w:r w:rsidR="005E3DDD">
        <w:rPr>
          <w:rFonts w:ascii="Bookman Old Style" w:hAnsi="Bookman Old Style"/>
          <w:sz w:val="26"/>
          <w:szCs w:val="26"/>
        </w:rPr>
        <w:t xml:space="preserve"> making the statement;</w:t>
      </w:r>
    </w:p>
    <w:p w:rsidR="005E3DDD" w:rsidRPr="002978F1" w:rsidRDefault="005E3DDD" w:rsidP="005E3DDD">
      <w:pPr>
        <w:spacing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</w:p>
    <w:p w:rsidR="00FC51AD" w:rsidRPr="002978F1" w:rsidRDefault="009002A6" w:rsidP="005E3DDD">
      <w:pPr>
        <w:numPr>
          <w:ilvl w:val="0"/>
          <w:numId w:val="3"/>
        </w:numPr>
        <w:spacing w:line="360" w:lineRule="auto"/>
        <w:ind w:hanging="720"/>
        <w:jc w:val="both"/>
        <w:rPr>
          <w:rFonts w:ascii="Bookman Old Style" w:hAnsi="Bookman Old Style"/>
          <w:sz w:val="26"/>
          <w:szCs w:val="26"/>
        </w:rPr>
      </w:pPr>
      <w:r w:rsidRPr="002978F1">
        <w:rPr>
          <w:rFonts w:ascii="Bookman Old Style" w:hAnsi="Bookman Old Style"/>
          <w:sz w:val="26"/>
          <w:szCs w:val="26"/>
        </w:rPr>
        <w:t>the p</w:t>
      </w:r>
      <w:r w:rsidR="00635ABE" w:rsidRPr="002978F1">
        <w:rPr>
          <w:rFonts w:ascii="Bookman Old Style" w:hAnsi="Bookman Old Style"/>
          <w:sz w:val="26"/>
          <w:szCs w:val="26"/>
        </w:rPr>
        <w:t>laintiff justifiably relied on t</w:t>
      </w:r>
      <w:r w:rsidRPr="002978F1">
        <w:rPr>
          <w:rFonts w:ascii="Bookman Old Style" w:hAnsi="Bookman Old Style"/>
          <w:sz w:val="26"/>
          <w:szCs w:val="26"/>
        </w:rPr>
        <w:t>he statement to [his][her] detriment</w:t>
      </w:r>
      <w:r w:rsidR="00FC51AD" w:rsidRPr="002978F1">
        <w:rPr>
          <w:rFonts w:ascii="Bookman Old Style" w:hAnsi="Bookman Old Style"/>
          <w:sz w:val="26"/>
          <w:szCs w:val="26"/>
        </w:rPr>
        <w:t xml:space="preserve">; </w:t>
      </w:r>
    </w:p>
    <w:p w:rsidR="005E3DDD" w:rsidRDefault="005E3DDD" w:rsidP="005E3DDD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</w:p>
    <w:p w:rsidR="00FC51AD" w:rsidRPr="002978F1" w:rsidRDefault="00FC51AD" w:rsidP="005E3DDD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  <w:r w:rsidRPr="002978F1">
        <w:rPr>
          <w:rFonts w:ascii="Bookman Old Style" w:hAnsi="Bookman Old Style"/>
          <w:sz w:val="26"/>
          <w:szCs w:val="26"/>
        </w:rPr>
        <w:t>(5)</w:t>
      </w:r>
      <w:r w:rsidRPr="002978F1">
        <w:rPr>
          <w:rFonts w:ascii="Bookman Old Style" w:hAnsi="Bookman Old Style"/>
          <w:sz w:val="26"/>
          <w:szCs w:val="26"/>
        </w:rPr>
        <w:tab/>
        <w:t xml:space="preserve">the plaintiff </w:t>
      </w:r>
      <w:r w:rsidR="00D657C9" w:rsidRPr="002978F1">
        <w:rPr>
          <w:rFonts w:ascii="Bookman Old Style" w:hAnsi="Bookman Old Style"/>
          <w:sz w:val="26"/>
          <w:szCs w:val="26"/>
        </w:rPr>
        <w:t>suffered a monetary loss</w:t>
      </w:r>
      <w:r w:rsidRPr="002978F1">
        <w:rPr>
          <w:rFonts w:ascii="Bookman Old Style" w:hAnsi="Bookman Old Style"/>
          <w:sz w:val="26"/>
          <w:szCs w:val="26"/>
        </w:rPr>
        <w:t xml:space="preserve">; and </w:t>
      </w:r>
    </w:p>
    <w:p w:rsidR="005E3DDD" w:rsidRDefault="005E3DDD" w:rsidP="005E3DDD">
      <w:pPr>
        <w:spacing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</w:p>
    <w:p w:rsidR="00FC51AD" w:rsidRPr="002978F1" w:rsidRDefault="00FC51AD" w:rsidP="005E3DDD">
      <w:pPr>
        <w:spacing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 w:rsidRPr="002978F1">
        <w:rPr>
          <w:rFonts w:ascii="Bookman Old Style" w:hAnsi="Bookman Old Style"/>
          <w:sz w:val="26"/>
          <w:szCs w:val="26"/>
        </w:rPr>
        <w:t>(6)</w:t>
      </w:r>
      <w:r w:rsidRPr="002978F1">
        <w:rPr>
          <w:rFonts w:ascii="Bookman Old Style" w:hAnsi="Bookman Old Style"/>
          <w:sz w:val="26"/>
          <w:szCs w:val="26"/>
        </w:rPr>
        <w:tab/>
        <w:t xml:space="preserve">the plaintiff’s reliance on the statement was a substantial factor in causing the plaintiff’s </w:t>
      </w:r>
      <w:r w:rsidR="00D657C9" w:rsidRPr="002978F1">
        <w:rPr>
          <w:rFonts w:ascii="Bookman Old Style" w:hAnsi="Bookman Old Style"/>
          <w:sz w:val="26"/>
          <w:szCs w:val="26"/>
        </w:rPr>
        <w:t>loss</w:t>
      </w:r>
      <w:r w:rsidRPr="002978F1">
        <w:rPr>
          <w:rFonts w:ascii="Bookman Old Style" w:hAnsi="Bookman Old Style"/>
          <w:sz w:val="26"/>
          <w:szCs w:val="26"/>
        </w:rPr>
        <w:t>.</w:t>
      </w:r>
    </w:p>
    <w:p w:rsidR="00FC51AD" w:rsidRPr="002978F1" w:rsidRDefault="00FC51AD" w:rsidP="00AF7658">
      <w:pPr>
        <w:jc w:val="both"/>
        <w:rPr>
          <w:rFonts w:ascii="Bookman Old Style" w:hAnsi="Bookman Old Style"/>
          <w:sz w:val="26"/>
          <w:szCs w:val="26"/>
        </w:rPr>
      </w:pPr>
    </w:p>
    <w:p w:rsidR="00635ABE" w:rsidRPr="002978F1" w:rsidRDefault="00635ABE" w:rsidP="00AF7658">
      <w:pPr>
        <w:jc w:val="both"/>
        <w:rPr>
          <w:rFonts w:ascii="Bookman Old Style" w:hAnsi="Bookman Old Style"/>
          <w:sz w:val="26"/>
          <w:szCs w:val="26"/>
        </w:rPr>
      </w:pPr>
    </w:p>
    <w:p w:rsidR="00C45AD9" w:rsidRPr="002978F1" w:rsidRDefault="002978F1" w:rsidP="00E145AB">
      <w:pPr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>Use Note</w:t>
      </w:r>
    </w:p>
    <w:p w:rsidR="00E145AB" w:rsidRPr="002978F1" w:rsidRDefault="00E145AB" w:rsidP="00E145AB">
      <w:pPr>
        <w:jc w:val="both"/>
        <w:rPr>
          <w:rFonts w:ascii="Bookman Old Style" w:hAnsi="Bookman Old Style"/>
          <w:sz w:val="26"/>
          <w:szCs w:val="26"/>
        </w:rPr>
      </w:pPr>
    </w:p>
    <w:p w:rsidR="00595EBC" w:rsidRPr="002978F1" w:rsidRDefault="00E145AB" w:rsidP="00595EBC">
      <w:pPr>
        <w:jc w:val="both"/>
        <w:rPr>
          <w:rFonts w:ascii="Bookman Old Style" w:hAnsi="Bookman Old Style"/>
          <w:sz w:val="26"/>
          <w:szCs w:val="26"/>
        </w:rPr>
      </w:pPr>
      <w:r w:rsidRPr="002978F1">
        <w:rPr>
          <w:rFonts w:ascii="Bookman Old Style" w:hAnsi="Bookman Old Style"/>
          <w:sz w:val="26"/>
          <w:szCs w:val="26"/>
        </w:rPr>
        <w:t>I</w:t>
      </w:r>
      <w:r w:rsidR="00CB25BA" w:rsidRPr="002978F1">
        <w:rPr>
          <w:rFonts w:ascii="Bookman Old Style" w:hAnsi="Bookman Old Style"/>
          <w:sz w:val="26"/>
          <w:szCs w:val="26"/>
        </w:rPr>
        <w:t>nstruction</w:t>
      </w:r>
      <w:r w:rsidR="004B7D83" w:rsidRPr="002978F1">
        <w:rPr>
          <w:rFonts w:ascii="Bookman Old Style" w:hAnsi="Bookman Old Style"/>
          <w:sz w:val="26"/>
          <w:szCs w:val="26"/>
        </w:rPr>
        <w:t>s</w:t>
      </w:r>
      <w:r w:rsidR="00CB25BA" w:rsidRPr="002978F1">
        <w:rPr>
          <w:rFonts w:ascii="Bookman Old Style" w:hAnsi="Bookman Old Style"/>
          <w:sz w:val="26"/>
          <w:szCs w:val="26"/>
        </w:rPr>
        <w:t xml:space="preserve"> 17.03 (Justifiable R</w:t>
      </w:r>
      <w:r w:rsidR="00C45AD9" w:rsidRPr="002978F1">
        <w:rPr>
          <w:rFonts w:ascii="Bookman Old Style" w:hAnsi="Bookman Old Style"/>
          <w:sz w:val="26"/>
          <w:szCs w:val="26"/>
        </w:rPr>
        <w:t xml:space="preserve">eliance) </w:t>
      </w:r>
      <w:r w:rsidR="004B7D83" w:rsidRPr="002978F1">
        <w:rPr>
          <w:rFonts w:ascii="Bookman Old Style" w:hAnsi="Bookman Old Style"/>
          <w:sz w:val="26"/>
          <w:szCs w:val="26"/>
        </w:rPr>
        <w:t xml:space="preserve">and 3.07 (Substantial Factor) </w:t>
      </w:r>
      <w:r w:rsidRPr="002978F1">
        <w:rPr>
          <w:rFonts w:ascii="Bookman Old Style" w:hAnsi="Bookman Old Style"/>
          <w:sz w:val="26"/>
          <w:szCs w:val="26"/>
        </w:rPr>
        <w:t xml:space="preserve">should be given </w:t>
      </w:r>
      <w:r w:rsidR="00C45AD9" w:rsidRPr="002978F1">
        <w:rPr>
          <w:rFonts w:ascii="Bookman Old Style" w:hAnsi="Bookman Old Style"/>
          <w:sz w:val="26"/>
          <w:szCs w:val="26"/>
        </w:rPr>
        <w:t>with this instruction.</w:t>
      </w:r>
      <w:r w:rsidR="00FC51AD" w:rsidRPr="002978F1">
        <w:rPr>
          <w:rFonts w:ascii="Bookman Old Style" w:hAnsi="Bookman Old Style"/>
          <w:sz w:val="26"/>
          <w:szCs w:val="26"/>
        </w:rPr>
        <w:t xml:space="preserve"> For a discussion of reasonable care, see 3.03A (Negligence Defined – Adult).</w:t>
      </w:r>
      <w:r w:rsidR="00595EBC" w:rsidRPr="002978F1">
        <w:rPr>
          <w:rFonts w:ascii="Bookman Old Style" w:hAnsi="Bookman Old Style"/>
          <w:sz w:val="26"/>
          <w:szCs w:val="26"/>
        </w:rPr>
        <w:t xml:space="preserve">  If it is appropriate to instruct the jury on nominal damages, see 24.11 (Nominal Damages). </w:t>
      </w:r>
    </w:p>
    <w:p w:rsidR="00C45AD9" w:rsidRDefault="00C45AD9" w:rsidP="00E145AB">
      <w:pPr>
        <w:jc w:val="both"/>
        <w:rPr>
          <w:rFonts w:ascii="Bookman Old Style" w:hAnsi="Bookman Old Style"/>
          <w:sz w:val="26"/>
          <w:szCs w:val="26"/>
        </w:rPr>
      </w:pPr>
    </w:p>
    <w:p w:rsidR="00823B86" w:rsidRPr="002978F1" w:rsidRDefault="00823B86" w:rsidP="00E145AB">
      <w:pPr>
        <w:jc w:val="both"/>
        <w:rPr>
          <w:rFonts w:ascii="Bookman Old Style" w:hAnsi="Bookman Old Style"/>
          <w:sz w:val="26"/>
          <w:szCs w:val="26"/>
        </w:rPr>
      </w:pPr>
    </w:p>
    <w:p w:rsidR="00C45AD9" w:rsidRPr="002978F1" w:rsidRDefault="00C45AD9" w:rsidP="00E145AB">
      <w:pPr>
        <w:jc w:val="both"/>
        <w:rPr>
          <w:rFonts w:ascii="Bookman Old Style" w:hAnsi="Bookman Old Style"/>
          <w:sz w:val="26"/>
          <w:szCs w:val="26"/>
        </w:rPr>
      </w:pPr>
    </w:p>
    <w:p w:rsidR="00635ABE" w:rsidRPr="002978F1" w:rsidRDefault="002978F1" w:rsidP="00E145AB">
      <w:pPr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>Comment</w:t>
      </w:r>
    </w:p>
    <w:p w:rsidR="00E145AB" w:rsidRPr="002978F1" w:rsidRDefault="00E145AB" w:rsidP="00E145A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35ABE" w:rsidRPr="002978F1" w:rsidRDefault="00635ABE" w:rsidP="00E145AB">
      <w:pPr>
        <w:jc w:val="both"/>
        <w:rPr>
          <w:rFonts w:ascii="Bookman Old Style" w:hAnsi="Bookman Old Style"/>
          <w:sz w:val="26"/>
          <w:szCs w:val="26"/>
        </w:rPr>
      </w:pPr>
      <w:r w:rsidRPr="002978F1">
        <w:rPr>
          <w:rFonts w:ascii="Bookman Old Style" w:hAnsi="Bookman Old Style"/>
          <w:sz w:val="26"/>
          <w:szCs w:val="26"/>
        </w:rPr>
        <w:t xml:space="preserve">This test was most recently cited in </w:t>
      </w:r>
      <w:r w:rsidRPr="002978F1">
        <w:rPr>
          <w:rFonts w:ascii="Bookman Old Style" w:hAnsi="Bookman Old Style"/>
          <w:i/>
          <w:sz w:val="26"/>
          <w:szCs w:val="26"/>
        </w:rPr>
        <w:t>Southern Alaska Carpenters Health and Security Trust Fund v. Jones</w:t>
      </w:r>
      <w:r w:rsidRPr="002978F1">
        <w:rPr>
          <w:rFonts w:ascii="Bookman Old Style" w:hAnsi="Bookman Old Style"/>
          <w:sz w:val="26"/>
          <w:szCs w:val="26"/>
        </w:rPr>
        <w:t xml:space="preserve">, 177 P.3d 844, 857 (Alaska 2008), citing </w:t>
      </w:r>
      <w:r w:rsidRPr="002978F1">
        <w:rPr>
          <w:rFonts w:ascii="Bookman Old Style" w:hAnsi="Bookman Old Style"/>
          <w:i/>
          <w:sz w:val="26"/>
          <w:szCs w:val="26"/>
        </w:rPr>
        <w:t>Bubbel v. Wein Air Alaska</w:t>
      </w:r>
      <w:r w:rsidRPr="002978F1">
        <w:rPr>
          <w:rFonts w:ascii="Bookman Old Style" w:hAnsi="Bookman Old Style"/>
          <w:sz w:val="26"/>
          <w:szCs w:val="26"/>
        </w:rPr>
        <w:t>, 682 P.2d 374, 378 (Alaska 1984).  The test is based on the Re</w:t>
      </w:r>
      <w:r w:rsidR="009002A6" w:rsidRPr="002978F1">
        <w:rPr>
          <w:rFonts w:ascii="Bookman Old Style" w:hAnsi="Bookman Old Style"/>
          <w:sz w:val="26"/>
          <w:szCs w:val="26"/>
        </w:rPr>
        <w:t>statement (Second) of Torts § 55</w:t>
      </w:r>
      <w:r w:rsidRPr="002978F1">
        <w:rPr>
          <w:rFonts w:ascii="Bookman Old Style" w:hAnsi="Bookman Old Style"/>
          <w:sz w:val="26"/>
          <w:szCs w:val="26"/>
        </w:rPr>
        <w:t xml:space="preserve">2(1) (1977).  </w:t>
      </w:r>
      <w:r w:rsidR="00C45AD9" w:rsidRPr="002978F1">
        <w:rPr>
          <w:rFonts w:ascii="Bookman Old Style" w:hAnsi="Bookman Old Style"/>
          <w:sz w:val="26"/>
          <w:szCs w:val="26"/>
        </w:rPr>
        <w:t>A slightly different version of these elements was set out in</w:t>
      </w:r>
      <w:r w:rsidR="00C45AD9" w:rsidRPr="002978F1">
        <w:rPr>
          <w:rFonts w:ascii="Bookman Old Style" w:hAnsi="Bookman Old Style"/>
          <w:i/>
          <w:sz w:val="26"/>
          <w:szCs w:val="26"/>
        </w:rPr>
        <w:t xml:space="preserve"> Willard v. Khotol Services Corp.,</w:t>
      </w:r>
      <w:r w:rsidR="009002A6" w:rsidRPr="002978F1">
        <w:rPr>
          <w:rFonts w:ascii="Bookman Old Style" w:hAnsi="Bookman Old Style"/>
          <w:sz w:val="26"/>
          <w:szCs w:val="26"/>
        </w:rPr>
        <w:t xml:space="preserve"> 171 P.3d 108, 118-</w:t>
      </w:r>
      <w:r w:rsidR="00C45AD9" w:rsidRPr="002978F1">
        <w:rPr>
          <w:rFonts w:ascii="Bookman Old Style" w:hAnsi="Bookman Old Style"/>
          <w:sz w:val="26"/>
          <w:szCs w:val="26"/>
        </w:rPr>
        <w:t>19 (Alaska 2007) and</w:t>
      </w:r>
      <w:r w:rsidR="00C45AD9" w:rsidRPr="002978F1">
        <w:rPr>
          <w:rFonts w:ascii="Bookman Old Style" w:hAnsi="Bookman Old Style"/>
          <w:i/>
          <w:sz w:val="26"/>
          <w:szCs w:val="26"/>
        </w:rPr>
        <w:t xml:space="preserve"> Reeves v. Alyeska Pipeline Service Co</w:t>
      </w:r>
      <w:r w:rsidR="00802C4A" w:rsidRPr="002978F1">
        <w:rPr>
          <w:rFonts w:ascii="Bookman Old Style" w:hAnsi="Bookman Old Style"/>
          <w:sz w:val="26"/>
          <w:szCs w:val="26"/>
        </w:rPr>
        <w:t>., 56 P.3d 660, 670-71 (Alaska</w:t>
      </w:r>
      <w:r w:rsidR="00C45AD9" w:rsidRPr="002978F1">
        <w:rPr>
          <w:rFonts w:ascii="Bookman Old Style" w:hAnsi="Bookman Old Style"/>
          <w:sz w:val="26"/>
          <w:szCs w:val="26"/>
        </w:rPr>
        <w:t xml:space="preserve"> 2002), but essentially conveys the same test.  </w:t>
      </w:r>
    </w:p>
    <w:p w:rsidR="00E145AB" w:rsidRPr="002978F1" w:rsidRDefault="00E145AB">
      <w:pPr>
        <w:rPr>
          <w:rFonts w:ascii="Bookman Old Style" w:hAnsi="Bookman Old Style"/>
          <w:b/>
          <w:sz w:val="26"/>
          <w:szCs w:val="26"/>
        </w:rPr>
      </w:pPr>
    </w:p>
    <w:p w:rsidR="008F4F8C" w:rsidRPr="002978F1" w:rsidRDefault="008F4F8C" w:rsidP="008F4F8C">
      <w:pPr>
        <w:jc w:val="both"/>
        <w:rPr>
          <w:rFonts w:ascii="Bookman Old Style" w:hAnsi="Bookman Old Style"/>
          <w:sz w:val="26"/>
          <w:szCs w:val="26"/>
        </w:rPr>
      </w:pPr>
      <w:r w:rsidRPr="002978F1">
        <w:rPr>
          <w:rFonts w:ascii="Bookman Old Style" w:hAnsi="Bookman Old Style"/>
          <w:sz w:val="26"/>
          <w:szCs w:val="26"/>
        </w:rPr>
        <w:t xml:space="preserve">In </w:t>
      </w:r>
      <w:r w:rsidRPr="002978F1">
        <w:rPr>
          <w:rFonts w:ascii="Bookman Old Style" w:hAnsi="Bookman Old Style"/>
          <w:i/>
          <w:sz w:val="26"/>
          <w:szCs w:val="26"/>
        </w:rPr>
        <w:t>Anchorage Chrysler Center, Inc. v. DaimlerChrysler Corp</w:t>
      </w:r>
      <w:r w:rsidRPr="002978F1">
        <w:rPr>
          <w:rFonts w:ascii="Bookman Old Style" w:hAnsi="Bookman Old Style"/>
          <w:sz w:val="26"/>
          <w:szCs w:val="26"/>
        </w:rPr>
        <w:t xml:space="preserve">., 221 P.3d 977 (Alaska 2009), the supreme court held that the loss in a fraudulent misrepresentation case must be a pecuniary loss caused by the plaintiff’s reliance on the misrepresentation. 221 P.3d at 991-92. A plaintiff who can prove pecuniary loss but not the extent of the loss may still be entitled to an award of nominal damages. </w:t>
      </w:r>
      <w:smartTag w:uri="urn:schemas-microsoft-com:office:smarttags" w:element="State">
        <w:smartTag w:uri="urn:schemas-microsoft-com:office:smarttags" w:element="place">
          <w:r w:rsidRPr="002978F1">
            <w:rPr>
              <w:rFonts w:ascii="Bookman Old Style" w:hAnsi="Bookman Old Style"/>
              <w:i/>
              <w:sz w:val="26"/>
              <w:szCs w:val="26"/>
            </w:rPr>
            <w:t>Id</w:t>
          </w:r>
          <w:r w:rsidRPr="002978F1">
            <w:rPr>
              <w:rFonts w:ascii="Bookman Old Style" w:hAnsi="Bookman Old Style"/>
              <w:sz w:val="26"/>
              <w:szCs w:val="26"/>
            </w:rPr>
            <w:t>.</w:t>
          </w:r>
        </w:smartTag>
      </w:smartTag>
    </w:p>
    <w:p w:rsidR="00595EBC" w:rsidRPr="002978F1" w:rsidRDefault="00595EBC" w:rsidP="00595EBC">
      <w:pPr>
        <w:jc w:val="both"/>
        <w:rPr>
          <w:rFonts w:ascii="Bookman Old Style" w:hAnsi="Bookman Old Style"/>
          <w:sz w:val="26"/>
          <w:szCs w:val="26"/>
        </w:rPr>
      </w:pPr>
    </w:p>
    <w:p w:rsidR="00D657C9" w:rsidRPr="002978F1" w:rsidRDefault="00D657C9">
      <w:pPr>
        <w:rPr>
          <w:rFonts w:ascii="Bookman Old Style" w:hAnsi="Bookman Old Style"/>
          <w:b/>
          <w:sz w:val="26"/>
          <w:szCs w:val="26"/>
        </w:rPr>
      </w:pPr>
    </w:p>
    <w:sectPr w:rsidR="00D657C9" w:rsidRPr="002978F1" w:rsidSect="002978F1"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BEC" w:rsidRDefault="008D0BEC">
      <w:r>
        <w:separator/>
      </w:r>
    </w:p>
  </w:endnote>
  <w:endnote w:type="continuationSeparator" w:id="0">
    <w:p w:rsidR="008D0BEC" w:rsidRDefault="008D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56" w:rsidRPr="002978F1" w:rsidRDefault="00FF3F56" w:rsidP="002978F1">
    <w:pPr>
      <w:pStyle w:val="Footer"/>
      <w:tabs>
        <w:tab w:val="clear" w:pos="8640"/>
        <w:tab w:val="right" w:pos="9360"/>
      </w:tabs>
      <w:rPr>
        <w:rFonts w:ascii="Bookman Old Style" w:hAnsi="Bookman Old Style"/>
        <w:sz w:val="26"/>
        <w:szCs w:val="26"/>
      </w:rPr>
    </w:pPr>
    <w:r>
      <w:rPr>
        <w:rFonts w:ascii="Bookman Old Style" w:hAnsi="Bookman Old Style"/>
        <w:sz w:val="26"/>
        <w:szCs w:val="26"/>
      </w:rPr>
      <w:tab/>
    </w:r>
    <w:r>
      <w:rPr>
        <w:rFonts w:ascii="Bookman Old Style" w:hAnsi="Bookman Old Style"/>
        <w:sz w:val="26"/>
        <w:szCs w:val="26"/>
      </w:rPr>
      <w:tab/>
      <w:t xml:space="preserve">17.05 - </w:t>
    </w:r>
    <w:r w:rsidRPr="007E5B5D">
      <w:rPr>
        <w:rStyle w:val="PageNumber"/>
        <w:rFonts w:ascii="Bookman Old Style" w:hAnsi="Bookman Old Style"/>
        <w:sz w:val="26"/>
        <w:szCs w:val="26"/>
      </w:rPr>
      <w:fldChar w:fldCharType="begin"/>
    </w:r>
    <w:r w:rsidRPr="007E5B5D">
      <w:rPr>
        <w:rStyle w:val="PageNumber"/>
        <w:rFonts w:ascii="Bookman Old Style" w:hAnsi="Bookman Old Style"/>
        <w:sz w:val="26"/>
        <w:szCs w:val="26"/>
      </w:rPr>
      <w:instrText xml:space="preserve"> PAGE </w:instrText>
    </w:r>
    <w:r w:rsidRPr="007E5B5D">
      <w:rPr>
        <w:rStyle w:val="PageNumber"/>
        <w:rFonts w:ascii="Bookman Old Style" w:hAnsi="Bookman Old Style"/>
        <w:sz w:val="26"/>
        <w:szCs w:val="26"/>
      </w:rPr>
      <w:fldChar w:fldCharType="separate"/>
    </w:r>
    <w:r w:rsidR="00604830">
      <w:rPr>
        <w:rStyle w:val="PageNumber"/>
        <w:rFonts w:ascii="Bookman Old Style" w:hAnsi="Bookman Old Style"/>
        <w:noProof/>
        <w:sz w:val="26"/>
        <w:szCs w:val="26"/>
      </w:rPr>
      <w:t>1</w:t>
    </w:r>
    <w:r w:rsidRPr="007E5B5D">
      <w:rPr>
        <w:rStyle w:val="PageNumber"/>
        <w:rFonts w:ascii="Bookman Old Style" w:hAnsi="Bookman Old Style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BEC" w:rsidRDefault="008D0BEC">
      <w:r>
        <w:separator/>
      </w:r>
    </w:p>
  </w:footnote>
  <w:footnote w:type="continuationSeparator" w:id="0">
    <w:p w:rsidR="008D0BEC" w:rsidRDefault="008D0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1932"/>
    <w:multiLevelType w:val="hybridMultilevel"/>
    <w:tmpl w:val="0582BE68"/>
    <w:lvl w:ilvl="0" w:tplc="2B26A114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4A1FF1"/>
    <w:multiLevelType w:val="hybridMultilevel"/>
    <w:tmpl w:val="D8D299C2"/>
    <w:lvl w:ilvl="0" w:tplc="8D440F92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F65E5B"/>
    <w:multiLevelType w:val="hybridMultilevel"/>
    <w:tmpl w:val="93127DBE"/>
    <w:lvl w:ilvl="0" w:tplc="9036EEB8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BE"/>
    <w:rsid w:val="002978F1"/>
    <w:rsid w:val="002A2B90"/>
    <w:rsid w:val="002F4D1F"/>
    <w:rsid w:val="00340790"/>
    <w:rsid w:val="003E2576"/>
    <w:rsid w:val="004B7D83"/>
    <w:rsid w:val="0050365B"/>
    <w:rsid w:val="00595EBC"/>
    <w:rsid w:val="005C0003"/>
    <w:rsid w:val="005E3DDD"/>
    <w:rsid w:val="00604830"/>
    <w:rsid w:val="00635ABE"/>
    <w:rsid w:val="007E5B5D"/>
    <w:rsid w:val="00802C4A"/>
    <w:rsid w:val="00823B86"/>
    <w:rsid w:val="008D0BEC"/>
    <w:rsid w:val="008F4F8C"/>
    <w:rsid w:val="009002A6"/>
    <w:rsid w:val="009C1BA6"/>
    <w:rsid w:val="00AF7658"/>
    <w:rsid w:val="00C45AD9"/>
    <w:rsid w:val="00CA5EBB"/>
    <w:rsid w:val="00CB25BA"/>
    <w:rsid w:val="00CC17F8"/>
    <w:rsid w:val="00CF73F6"/>
    <w:rsid w:val="00D657C9"/>
    <w:rsid w:val="00E145AB"/>
    <w:rsid w:val="00FA28A9"/>
    <w:rsid w:val="00FC51AD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978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78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7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978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78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– FOR DISCUSSION ONLY</vt:lpstr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– FOR DISCUSSION ONLY</dc:title>
  <dc:subject/>
  <dc:creator>cesniffen</dc:creator>
  <cp:keywords/>
  <dc:description/>
  <cp:lastModifiedBy>Michael Merrington</cp:lastModifiedBy>
  <cp:revision>3</cp:revision>
  <dcterms:created xsi:type="dcterms:W3CDTF">2017-04-04T18:41:00Z</dcterms:created>
  <dcterms:modified xsi:type="dcterms:W3CDTF">2017-04-04T18:41:00Z</dcterms:modified>
</cp:coreProperties>
</file>