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2908">
      <w:pPr>
        <w:pStyle w:val="BodyText2"/>
      </w:pPr>
      <w:bookmarkStart w:id="0" w:name="_GoBack"/>
      <w:bookmarkEnd w:id="0"/>
      <w:r>
        <w:t>15.03A</w:t>
      </w:r>
      <w:r>
        <w:tab/>
        <w:t>False Arrest – Arrest Without Warrant; Fact of Arrest Contested</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In this case, the plaintiff (name) claims that the defendant (name) improperly arrested the plaintiff.</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 xml:space="preserve">In order for the plaintiff to establish this claim, you must decide that it is </w:t>
      </w:r>
      <w:r>
        <w:rPr>
          <w:rFonts w:ascii="Bookman Old Style" w:hAnsi="Bookman Old Style"/>
          <w:sz w:val="26"/>
        </w:rPr>
        <w:t>more likely true than not true that the defendant arrested the plaintiff.  The defendant arrested the plaintiff if you decide it is more likely true than not true that the following things happened:</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[Insert evidence of facts which, if true, would establish an arrest.]</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 xml:space="preserve">If you decide this is true, [you must return a verdict for the plaintiff] [you must decide whether the law allowed the defendant to make the arrest].  Otherwise you must [determine whether plaintiff was confined in some other way] [return a </w:t>
      </w:r>
      <w:r>
        <w:rPr>
          <w:rFonts w:ascii="Bookman Old Style" w:hAnsi="Bookman Old Style"/>
          <w:sz w:val="26"/>
        </w:rPr>
        <w:t>verdict for the defendant].</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182908">
      <w:pPr>
        <w:pStyle w:val="Heading1"/>
      </w:pPr>
      <w:r>
        <w:t>Use Note</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tort of false imprisonment generally protects a person’s right to be free from an unlawful “confinement.”  (</w:t>
      </w:r>
      <w:r>
        <w:rPr>
          <w:rFonts w:ascii="Bookman Old Style" w:hAnsi="Bookman Old Style"/>
          <w:sz w:val="26"/>
          <w:u w:val="single"/>
        </w:rPr>
        <w:t>See</w:t>
      </w:r>
      <w:r>
        <w:rPr>
          <w:rFonts w:ascii="Bookman Old Style" w:hAnsi="Bookman Old Style"/>
          <w:sz w:val="26"/>
        </w:rPr>
        <w:t xml:space="preserve"> Instruction Number 15.02A.)  An arrest is one way in which to effectuate the “confinement.”  Thus, where an arrest occurs, “confinement” is presumed.  Where it is questioned whether an arrest actually occurred and where it is later determined that an arrest in fact did not occur, the plaintiff may still seek to prove that an unlawful “confinement” occurre</w:t>
      </w:r>
      <w:r>
        <w:rPr>
          <w:rFonts w:ascii="Bookman Old Style" w:hAnsi="Bookman Old Style"/>
          <w:sz w:val="26"/>
        </w:rPr>
        <w:t xml:space="preserve">d by some other means.  Accordingly, caution must be exercised drafting instructions which conform to plaintiff’s theories of liability.  </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should be used in cases where the plaintiff asserts false imprisonment by means of an arrest without a warrant and the fact of the arrest is contested.  It applies to arrests by citizens as well as by peace officers.</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Where the fact of an arrest is not contested, use Instruction 15.03B.</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Where the defendant claims the arrest was lawful, use Instruction </w:t>
      </w:r>
      <w:r>
        <w:rPr>
          <w:rFonts w:ascii="Bookman Old Style" w:hAnsi="Bookman Old Style"/>
          <w:sz w:val="26"/>
        </w:rPr>
        <w:t>15.04 after this instruction.</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Where a plaintiff seeks to prove a false arrest and, if it is later determined that an “arrest” did not actually occur, seeks to prove that a confinement occurred in some other way, use both Instruction Numbers 15.01 and 15.03A.</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Where a detention short of an arrest occurs and where the defendant peace officer claims that such detention was lawful, use Instruction 15.06 after Instructions 15.01, 15.02A, 15.02C and this instruction.</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pStyle w:val="Heading1"/>
      </w:pPr>
      <w:r>
        <w:t>Comment</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False arrest and false imprisonment</w:t>
      </w:r>
      <w:r>
        <w:rPr>
          <w:rFonts w:ascii="Bookman Old Style" w:hAnsi="Bookman Old Style"/>
          <w:sz w:val="26"/>
        </w:rPr>
        <w:t xml:space="preserve"> are not separate torts.  A false arrest always amounts to a false imprisonment.  </w:t>
      </w:r>
      <w:r>
        <w:rPr>
          <w:rFonts w:ascii="Bookman Old Style" w:hAnsi="Bookman Old Style"/>
          <w:sz w:val="26"/>
          <w:u w:val="single"/>
        </w:rPr>
        <w:t>City of Nome v. Ailak</w:t>
      </w:r>
      <w:r>
        <w:rPr>
          <w:rFonts w:ascii="Bookman Old Style" w:hAnsi="Bookman Old Style"/>
          <w:sz w:val="26"/>
        </w:rPr>
        <w:t xml:space="preserve">, 570 P.2d 162 (Alaska 1977).  The elements of a false arrest claim are:  (1) a restraint upon plaintiff’s freedom (2) without proper legal authority.  </w:t>
      </w:r>
      <w:r>
        <w:rPr>
          <w:rFonts w:ascii="Bookman Old Style" w:hAnsi="Bookman Old Style"/>
          <w:sz w:val="26"/>
          <w:u w:val="single"/>
        </w:rPr>
        <w:t>Hazen v. Municipality of Anchorage</w:t>
      </w:r>
      <w:r>
        <w:rPr>
          <w:rFonts w:ascii="Bookman Old Style" w:hAnsi="Bookman Old Style"/>
          <w:sz w:val="26"/>
        </w:rPr>
        <w:t>, 718 P.2d 456, 461 (Alaska 1986).</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An “arrest” is defined by two Alaska statutes.  AS 12.25.160 provides:  “Arrest is the taking of a person into custody in order that he may be held to answer for the commission of a crime</w:t>
      </w:r>
      <w:r>
        <w:rPr>
          <w:rFonts w:ascii="Bookman Old Style" w:hAnsi="Bookman Old Style"/>
          <w:sz w:val="26"/>
        </w:rPr>
        <w:t xml:space="preserve">.”  AS 12.25.050 provides:  “An arrest is made by the actual restraint of a person or by his submission to the custody of the person making the arrest.”  It is not clear whether the issue of what constitutes an arrest in a civil context of a false imprisonment case is for the court or jury.  The court in </w:t>
      </w:r>
      <w:r>
        <w:rPr>
          <w:rFonts w:ascii="Bookman Old Style" w:hAnsi="Bookman Old Style"/>
          <w:sz w:val="26"/>
          <w:u w:val="single"/>
        </w:rPr>
        <w:t>City of Nome v. Ailak</w:t>
      </w:r>
      <w:r>
        <w:rPr>
          <w:rFonts w:ascii="Bookman Old Style" w:hAnsi="Bookman Old Style"/>
          <w:sz w:val="26"/>
        </w:rPr>
        <w:t>, 570 P.2d at 169, recognizes some role for the jury.  However, it is not clear whether the jury should be instructed generally as to a definition of arrest or whether the jury should o</w:t>
      </w:r>
      <w:r>
        <w:rPr>
          <w:rFonts w:ascii="Bookman Old Style" w:hAnsi="Bookman Old Style"/>
          <w:sz w:val="26"/>
        </w:rPr>
        <w:t>nly resolve factual disputes.  In many cases, there exists a tension between allowing the jury to determine whether an arrest occurred and allowing the court to exercise control over this determination.  If a timely jury demand is made, a party has a right to have factual disputes resolved by the jury.  On the other hand, where there is a question of whether an arrest occurred, the court may need to exercise more control over the question because a defendant’s claim of privilege will differ depending on whe</w:t>
      </w:r>
      <w:r>
        <w:rPr>
          <w:rFonts w:ascii="Bookman Old Style" w:hAnsi="Bookman Old Style"/>
          <w:sz w:val="26"/>
        </w:rPr>
        <w:t xml:space="preserve">ther an arrest occurred (Instruction 15.04) or whether a detention short of arrest occurred (Instructions 15.06 and 15.08).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Terry v. Ohio</w:t>
      </w:r>
      <w:r>
        <w:rPr>
          <w:rFonts w:ascii="Bookman Old Style" w:hAnsi="Bookman Old Style"/>
          <w:sz w:val="26"/>
        </w:rPr>
        <w:t>, 392 U.S. 1 (1968).</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instruction, like the pattern jury instructions in California (BAJI 7.60) and New York (PJI 3:5), is drafted to provide the jury with an opportunity to resolve factual disputes necessary for the court to determine whether an arrest was in fact made.  As in the case of determining reasonable cause, special interrogatories directed at facts nec</w:t>
      </w:r>
      <w:r>
        <w:rPr>
          <w:rFonts w:ascii="Bookman Old Style" w:hAnsi="Bookman Old Style"/>
          <w:sz w:val="26"/>
        </w:rPr>
        <w:t xml:space="preserve">essary to create an arrest may be advisable.  </w:t>
      </w:r>
      <w:r>
        <w:rPr>
          <w:rFonts w:ascii="Bookman Old Style" w:hAnsi="Bookman Old Style"/>
          <w:sz w:val="26"/>
          <w:u w:val="single"/>
        </w:rPr>
        <w:t>See</w:t>
      </w:r>
      <w:r>
        <w:rPr>
          <w:rFonts w:ascii="Bookman Old Style" w:hAnsi="Bookman Old Style"/>
          <w:sz w:val="26"/>
        </w:rPr>
        <w:t xml:space="preserve"> Comment to Instruction 15.05.</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The Alaska Court has not indicated specifically who has the burden of proof that an arrest was lawful.  The general rule in other jurisdictions is that an allegation by the plaintiff of an arrest without a warrant followed by damage is sufficient and that the defendant has the burden of showing the arrest was lawfully authorized.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Kaufman v. Brown</w:t>
      </w:r>
      <w:r>
        <w:rPr>
          <w:rFonts w:ascii="Bookman Old Style" w:hAnsi="Bookman Old Style"/>
          <w:sz w:val="26"/>
        </w:rPr>
        <w:t xml:space="preserve">, 93 Cal. App. 508, 209 P.2d 156 (1949); </w:t>
      </w:r>
      <w:r>
        <w:rPr>
          <w:rFonts w:ascii="Bookman Old Style" w:hAnsi="Bookman Old Style"/>
          <w:sz w:val="26"/>
          <w:u w:val="single"/>
        </w:rPr>
        <w:t>Brown v. Meier &amp; Frank Co.</w:t>
      </w:r>
      <w:r>
        <w:rPr>
          <w:rFonts w:ascii="Bookman Old Style" w:hAnsi="Bookman Old Style"/>
          <w:sz w:val="26"/>
        </w:rPr>
        <w:t xml:space="preserve">, 160 Ore. </w:t>
      </w:r>
      <w:r>
        <w:rPr>
          <w:rFonts w:ascii="Bookman Old Style" w:hAnsi="Bookman Old Style"/>
          <w:sz w:val="26"/>
        </w:rPr>
        <w:t xml:space="preserve">608, 86 P.2d 79 (1939).  This is clearly the case now in warrantless arrest cases when suppression is sought.  </w:t>
      </w:r>
      <w:r>
        <w:rPr>
          <w:rFonts w:ascii="Bookman Old Style" w:hAnsi="Bookman Old Style"/>
          <w:sz w:val="26"/>
          <w:u w:val="single"/>
        </w:rPr>
        <w:t>See</w:t>
      </w:r>
      <w:r>
        <w:rPr>
          <w:rFonts w:ascii="Bookman Old Style" w:hAnsi="Bookman Old Style"/>
          <w:sz w:val="26"/>
        </w:rPr>
        <w:t xml:space="preserve"> Saltzburg, </w:t>
      </w:r>
      <w:r>
        <w:rPr>
          <w:rFonts w:ascii="Bookman Old Style" w:hAnsi="Bookman Old Style"/>
          <w:sz w:val="26"/>
          <w:u w:val="single"/>
        </w:rPr>
        <w:t>Standards of Proof and Preliminary Questions of Fact</w:t>
      </w:r>
      <w:r>
        <w:rPr>
          <w:rFonts w:ascii="Bookman Old Style" w:hAnsi="Bookman Old Style"/>
          <w:sz w:val="26"/>
        </w:rPr>
        <w:t xml:space="preserve">, 27 Stan. L. Rev. 271 (1975).  Language in </w:t>
      </w:r>
      <w:r>
        <w:rPr>
          <w:rFonts w:ascii="Bookman Old Style" w:hAnsi="Bookman Old Style"/>
          <w:sz w:val="26"/>
          <w:u w:val="single"/>
        </w:rPr>
        <w:t>City of Nome</w:t>
      </w:r>
      <w:r>
        <w:rPr>
          <w:rFonts w:ascii="Bookman Old Style" w:hAnsi="Bookman Old Style"/>
          <w:sz w:val="26"/>
        </w:rPr>
        <w:t xml:space="preserve">, </w:t>
      </w:r>
      <w:r>
        <w:rPr>
          <w:rFonts w:ascii="Bookman Old Style" w:hAnsi="Bookman Old Style"/>
          <w:sz w:val="26"/>
          <w:u w:val="single"/>
        </w:rPr>
        <w:t>supra</w:t>
      </w:r>
      <w:r>
        <w:rPr>
          <w:rFonts w:ascii="Bookman Old Style" w:hAnsi="Bookman Old Style"/>
          <w:sz w:val="26"/>
        </w:rPr>
        <w:t xml:space="preserve"> at 170, might suggest that the burden rests on the plaintiff to show an absence of probable cause.  The court approved an instruction it interpreted to require “the jury to find both an involuntary entry and an absence of probable cause” to find for plaintiff.  The jury</w:t>
      </w:r>
      <w:r>
        <w:rPr>
          <w:rFonts w:ascii="Bookman Old Style" w:hAnsi="Bookman Old Style"/>
          <w:sz w:val="26"/>
        </w:rPr>
        <w:t xml:space="preserve"> instructions reviewed in the case apparently did not specify who had the burden of proof.  570 P. 2d at 169 n.14.  The Court’s concern was merely to demonstrate that lack of probable cause and consent were two separate issues.  In the absence of a clear holding, this instruction assumes the plaintiff has only the burden of showing an arrest without a warrant was made.</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No provision directed at “consent” is included in this instruction.  Proof of an arrest would seem to negate any voluntary submission of th</w:t>
      </w:r>
      <w:r>
        <w:rPr>
          <w:rFonts w:ascii="Bookman Old Style" w:hAnsi="Bookman Old Style"/>
          <w:sz w:val="26"/>
        </w:rPr>
        <w:t xml:space="preserve">e plaintiff to the custody of the defendant.  Any issue of consent would be included as part of the insertion directed at the issue of whether thee was an arrest.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generally</w:t>
      </w:r>
      <w:r>
        <w:rPr>
          <w:rFonts w:ascii="Bookman Old Style" w:hAnsi="Bookman Old Style"/>
          <w:sz w:val="26"/>
        </w:rPr>
        <w:t xml:space="preserve"> Restatement (Second) of Torts § 41 (1965).</w:t>
      </w:r>
    </w:p>
    <w:p w:rsidR="00000000" w:rsidRDefault="00182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pgMar w:top="1440" w:right="1440" w:bottom="1080" w:left="1440" w:header="720" w:footer="5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2908">
      <w:r>
        <w:separator/>
      </w:r>
    </w:p>
  </w:endnote>
  <w:endnote w:type="continuationSeparator" w:id="0">
    <w:p w:rsidR="00000000" w:rsidRDefault="001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2908">
    <w:pPr>
      <w:pStyle w:val="Footer"/>
      <w:tabs>
        <w:tab w:val="clear" w:pos="8640"/>
        <w:tab w:val="right" w:pos="9090"/>
      </w:tabs>
      <w:rPr>
        <w:rFonts w:ascii="Bookman Old Style" w:hAnsi="Bookman Old Style"/>
        <w:sz w:val="24"/>
      </w:rPr>
    </w:pPr>
    <w:r>
      <w:rPr>
        <w:rFonts w:ascii="Bookman Old Style" w:hAnsi="Bookman Old Style"/>
        <w:sz w:val="24"/>
      </w:rPr>
      <w:tab/>
    </w:r>
    <w:r>
      <w:rPr>
        <w:rFonts w:ascii="Bookman Old Style" w:hAnsi="Bookman Old Style"/>
        <w:sz w:val="24"/>
      </w:rPr>
      <w:tab/>
      <w:t xml:space="preserve">15.03A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CD18FD">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2908">
      <w:r>
        <w:separator/>
      </w:r>
    </w:p>
  </w:footnote>
  <w:footnote w:type="continuationSeparator" w:id="0">
    <w:p w:rsidR="00000000" w:rsidRDefault="0018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FD"/>
    <w:rsid w:val="00182908"/>
    <w:rsid w:val="00CD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widowControl w:val="0"/>
      <w:ind w:left="1440" w:hanging="1440"/>
      <w:jc w:val="both"/>
    </w:pPr>
    <w:rPr>
      <w:rFonts w:ascii="Bookman Old Style" w:hAnsi="Bookman Old Style"/>
      <w:b/>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widowControl w:val="0"/>
      <w:ind w:left="1440" w:hanging="1440"/>
      <w:jc w:val="both"/>
    </w:pPr>
    <w:rPr>
      <w:rFonts w:ascii="Bookman Old Style" w:hAnsi="Bookman Old Style"/>
      <w:b/>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5199</Characters>
  <Application>Microsoft Office Word</Application>
  <DocSecurity>0</DocSecurity>
  <Lines>43</Lines>
  <Paragraphs>12</Paragraphs>
  <ScaleCrop>false</ScaleCrop>
  <Company>Alaska Court System</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korzechowski</dc:creator>
  <cp:keywords/>
  <dc:description/>
  <cp:lastModifiedBy>Michael Merrington</cp:lastModifiedBy>
  <cp:revision>3</cp:revision>
  <cp:lastPrinted>2000-12-18T22:34:00Z</cp:lastPrinted>
  <dcterms:created xsi:type="dcterms:W3CDTF">2017-04-04T18:50:00Z</dcterms:created>
  <dcterms:modified xsi:type="dcterms:W3CDTF">2017-04-04T18:50:00Z</dcterms:modified>
</cp:coreProperties>
</file>