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B2" w:rsidRDefault="0058752A" w:rsidP="00D102AC">
      <w:pPr>
        <w:tabs>
          <w:tab w:val="left" w:pos="990"/>
          <w:tab w:val="left" w:pos="1440"/>
        </w:tabs>
        <w:ind w:left="900" w:hanging="900"/>
        <w:jc w:val="both"/>
        <w:rPr>
          <w:b/>
          <w:sz w:val="28"/>
          <w:szCs w:val="28"/>
        </w:rPr>
      </w:pPr>
      <w:bookmarkStart w:id="0" w:name="_GoBack"/>
      <w:bookmarkEnd w:id="0"/>
      <w:r w:rsidRPr="00236FF2">
        <w:rPr>
          <w:b/>
          <w:sz w:val="28"/>
          <w:szCs w:val="28"/>
        </w:rPr>
        <w:t>10.01</w:t>
      </w:r>
      <w:r w:rsidR="00236FF2">
        <w:rPr>
          <w:b/>
          <w:sz w:val="28"/>
          <w:szCs w:val="28"/>
        </w:rPr>
        <w:t>A</w:t>
      </w:r>
      <w:r w:rsidR="00236FF2">
        <w:rPr>
          <w:b/>
          <w:sz w:val="28"/>
          <w:szCs w:val="28"/>
        </w:rPr>
        <w:tab/>
      </w:r>
      <w:r w:rsidR="00D102AC">
        <w:rPr>
          <w:b/>
          <w:sz w:val="28"/>
          <w:szCs w:val="28"/>
        </w:rPr>
        <w:tab/>
      </w:r>
      <w:r w:rsidR="00D102AC">
        <w:rPr>
          <w:b/>
          <w:sz w:val="28"/>
          <w:szCs w:val="28"/>
        </w:rPr>
        <w:tab/>
      </w:r>
      <w:r w:rsidR="00244AFF" w:rsidRPr="00236FF2">
        <w:rPr>
          <w:b/>
          <w:sz w:val="28"/>
          <w:szCs w:val="28"/>
        </w:rPr>
        <w:t>ELEMENTS OF A</w:t>
      </w:r>
      <w:r w:rsidR="0096286B" w:rsidRPr="00236FF2">
        <w:rPr>
          <w:b/>
          <w:sz w:val="28"/>
          <w:szCs w:val="28"/>
        </w:rPr>
        <w:t xml:space="preserve"> CONSUMER PROTECTION ACT </w:t>
      </w:r>
      <w:r w:rsidR="004260B2">
        <w:rPr>
          <w:b/>
          <w:sz w:val="28"/>
          <w:szCs w:val="28"/>
        </w:rPr>
        <w:t>CLAIM</w:t>
      </w:r>
    </w:p>
    <w:p w:rsidR="00C20FED" w:rsidRDefault="004260B2" w:rsidP="004260B2">
      <w:pPr>
        <w:ind w:left="900" w:hanging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102AC">
        <w:rPr>
          <w:b/>
          <w:sz w:val="28"/>
          <w:szCs w:val="28"/>
        </w:rPr>
        <w:tab/>
      </w:r>
      <w:r w:rsidR="00E44031">
        <w:rPr>
          <w:b/>
          <w:sz w:val="28"/>
          <w:szCs w:val="28"/>
        </w:rPr>
        <w:t xml:space="preserve">UNDER AS 45.50.531(a) </w:t>
      </w:r>
      <w:r w:rsidR="00244AFF" w:rsidRPr="00236FF2">
        <w:rPr>
          <w:b/>
          <w:sz w:val="28"/>
          <w:szCs w:val="28"/>
        </w:rPr>
        <w:t xml:space="preserve">BASED ON UNFAIR OR DECEPTIVE </w:t>
      </w:r>
      <w:r w:rsidR="00E44031">
        <w:rPr>
          <w:b/>
          <w:sz w:val="28"/>
          <w:szCs w:val="28"/>
        </w:rPr>
        <w:tab/>
      </w:r>
      <w:r w:rsidR="00244AFF" w:rsidRPr="00236FF2">
        <w:rPr>
          <w:b/>
          <w:sz w:val="28"/>
          <w:szCs w:val="28"/>
        </w:rPr>
        <w:t>ACTS</w:t>
      </w:r>
      <w:r w:rsidR="0096286B" w:rsidRPr="00236FF2">
        <w:rPr>
          <w:b/>
          <w:sz w:val="28"/>
          <w:szCs w:val="28"/>
        </w:rPr>
        <w:t xml:space="preserve"> </w:t>
      </w:r>
      <w:r w:rsidR="00E44031">
        <w:rPr>
          <w:b/>
          <w:sz w:val="28"/>
          <w:szCs w:val="28"/>
        </w:rPr>
        <w:t>(</w:t>
      </w:r>
      <w:r w:rsidR="0096286B" w:rsidRPr="00236FF2">
        <w:rPr>
          <w:b/>
          <w:sz w:val="28"/>
          <w:szCs w:val="28"/>
        </w:rPr>
        <w:t>AS 45.50.471(</w:t>
      </w:r>
      <w:r w:rsidR="00ED0629">
        <w:rPr>
          <w:b/>
          <w:sz w:val="28"/>
          <w:szCs w:val="28"/>
        </w:rPr>
        <w:t>a</w:t>
      </w:r>
      <w:r w:rsidR="0096286B" w:rsidRPr="00236FF2">
        <w:rPr>
          <w:b/>
          <w:sz w:val="28"/>
          <w:szCs w:val="28"/>
        </w:rPr>
        <w:t>)</w:t>
      </w:r>
      <w:r w:rsidR="00E44031">
        <w:rPr>
          <w:b/>
          <w:sz w:val="28"/>
          <w:szCs w:val="28"/>
        </w:rPr>
        <w:t>)</w:t>
      </w:r>
    </w:p>
    <w:p w:rsidR="00BE1193" w:rsidRDefault="00BE1193" w:rsidP="00BE1193">
      <w:pPr>
        <w:tabs>
          <w:tab w:val="left" w:pos="1080"/>
        </w:tabs>
        <w:ind w:left="1080" w:hanging="1080"/>
        <w:jc w:val="both"/>
        <w:rPr>
          <w:b/>
          <w:sz w:val="28"/>
          <w:szCs w:val="28"/>
        </w:rPr>
      </w:pPr>
    </w:p>
    <w:p w:rsidR="00BE1193" w:rsidRPr="00236FF2" w:rsidRDefault="00BE1193" w:rsidP="00BE1193">
      <w:pPr>
        <w:tabs>
          <w:tab w:val="left" w:pos="1080"/>
        </w:tabs>
        <w:ind w:left="1080" w:hanging="1080"/>
        <w:jc w:val="both"/>
        <w:rPr>
          <w:b/>
          <w:sz w:val="28"/>
          <w:szCs w:val="28"/>
        </w:rPr>
      </w:pPr>
    </w:p>
    <w:p w:rsidR="00C20FED" w:rsidRPr="00236FF2" w:rsidRDefault="003E035D" w:rsidP="00BE1193">
      <w:pPr>
        <w:spacing w:line="360" w:lineRule="auto"/>
        <w:jc w:val="both"/>
        <w:rPr>
          <w:sz w:val="28"/>
          <w:szCs w:val="28"/>
        </w:rPr>
      </w:pPr>
      <w:r w:rsidRPr="00236FF2">
        <w:rPr>
          <w:sz w:val="28"/>
          <w:szCs w:val="28"/>
        </w:rPr>
        <w:t>[P</w:t>
      </w:r>
      <w:r w:rsidR="00C20FED" w:rsidRPr="00236FF2">
        <w:rPr>
          <w:sz w:val="28"/>
          <w:szCs w:val="28"/>
        </w:rPr>
        <w:t>laintiff</w:t>
      </w:r>
      <w:r w:rsidRPr="00236FF2">
        <w:rPr>
          <w:sz w:val="28"/>
          <w:szCs w:val="28"/>
        </w:rPr>
        <w:t>]</w:t>
      </w:r>
      <w:r w:rsidR="00C20FED" w:rsidRPr="00236FF2">
        <w:rPr>
          <w:sz w:val="28"/>
          <w:szCs w:val="28"/>
        </w:rPr>
        <w:t xml:space="preserve"> claims that [he</w:t>
      </w:r>
      <w:proofErr w:type="gramStart"/>
      <w:r w:rsidR="00DA3A7B" w:rsidRPr="00236FF2">
        <w:rPr>
          <w:sz w:val="28"/>
          <w:szCs w:val="28"/>
        </w:rPr>
        <w:t>][</w:t>
      </w:r>
      <w:proofErr w:type="gramEnd"/>
      <w:r w:rsidR="00C20FED" w:rsidRPr="00236FF2">
        <w:rPr>
          <w:sz w:val="28"/>
          <w:szCs w:val="28"/>
        </w:rPr>
        <w:t>she]</w:t>
      </w:r>
      <w:r w:rsidRPr="00236FF2">
        <w:rPr>
          <w:sz w:val="28"/>
          <w:szCs w:val="28"/>
        </w:rPr>
        <w:t>[it]</w:t>
      </w:r>
      <w:r w:rsidR="00C20FED" w:rsidRPr="00236FF2">
        <w:rPr>
          <w:sz w:val="28"/>
          <w:szCs w:val="28"/>
        </w:rPr>
        <w:t xml:space="preserve"> was </w:t>
      </w:r>
      <w:r w:rsidR="00341306" w:rsidRPr="00236FF2">
        <w:rPr>
          <w:sz w:val="28"/>
          <w:szCs w:val="28"/>
        </w:rPr>
        <w:t xml:space="preserve">harmed </w:t>
      </w:r>
      <w:r w:rsidR="00C20FED" w:rsidRPr="00236FF2">
        <w:rPr>
          <w:sz w:val="28"/>
          <w:szCs w:val="28"/>
        </w:rPr>
        <w:t xml:space="preserve">because </w:t>
      </w:r>
      <w:r w:rsidRPr="00236FF2">
        <w:rPr>
          <w:sz w:val="28"/>
          <w:szCs w:val="28"/>
        </w:rPr>
        <w:t>[</w:t>
      </w:r>
      <w:r w:rsidR="00C20FED" w:rsidRPr="00236FF2">
        <w:rPr>
          <w:sz w:val="28"/>
          <w:szCs w:val="28"/>
        </w:rPr>
        <w:t>defendant</w:t>
      </w:r>
      <w:r w:rsidRPr="00236FF2">
        <w:rPr>
          <w:sz w:val="28"/>
          <w:szCs w:val="28"/>
        </w:rPr>
        <w:t>]</w:t>
      </w:r>
      <w:r w:rsidR="00C20FED" w:rsidRPr="00236FF2">
        <w:rPr>
          <w:sz w:val="28"/>
          <w:szCs w:val="28"/>
        </w:rPr>
        <w:t xml:space="preserve"> committed an unfair or deceptive act or practice.  </w:t>
      </w:r>
      <w:r w:rsidRPr="00236FF2">
        <w:rPr>
          <w:sz w:val="28"/>
          <w:szCs w:val="28"/>
        </w:rPr>
        <w:t>[P</w:t>
      </w:r>
      <w:r w:rsidR="00C20FED" w:rsidRPr="00236FF2">
        <w:rPr>
          <w:sz w:val="28"/>
          <w:szCs w:val="28"/>
        </w:rPr>
        <w:t>laintiff</w:t>
      </w:r>
      <w:r w:rsidRPr="00236FF2">
        <w:rPr>
          <w:sz w:val="28"/>
          <w:szCs w:val="28"/>
        </w:rPr>
        <w:t>]</w:t>
      </w:r>
      <w:r w:rsidR="00C20FED" w:rsidRPr="00236FF2">
        <w:rPr>
          <w:sz w:val="28"/>
          <w:szCs w:val="28"/>
        </w:rPr>
        <w:t xml:space="preserve"> claims that the following acts or practices were unfair or deceptive:</w:t>
      </w:r>
    </w:p>
    <w:p w:rsidR="00C20FED" w:rsidRPr="00236FF2" w:rsidRDefault="00C20FED" w:rsidP="00BE119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36FF2">
        <w:rPr>
          <w:sz w:val="28"/>
          <w:szCs w:val="28"/>
        </w:rPr>
        <w:t>a</w:t>
      </w:r>
      <w:proofErr w:type="gramEnd"/>
      <w:r w:rsidRPr="00236FF2">
        <w:rPr>
          <w:sz w:val="28"/>
          <w:szCs w:val="28"/>
        </w:rPr>
        <w:t>.</w:t>
      </w:r>
    </w:p>
    <w:p w:rsidR="00C20FED" w:rsidRPr="00236FF2" w:rsidRDefault="00C20FED" w:rsidP="00BE119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36FF2">
        <w:rPr>
          <w:sz w:val="28"/>
          <w:szCs w:val="28"/>
        </w:rPr>
        <w:t>b</w:t>
      </w:r>
      <w:proofErr w:type="gramEnd"/>
      <w:r w:rsidRPr="00236FF2">
        <w:rPr>
          <w:sz w:val="28"/>
          <w:szCs w:val="28"/>
        </w:rPr>
        <w:t>.</w:t>
      </w:r>
    </w:p>
    <w:p w:rsidR="00C20FED" w:rsidRPr="00236FF2" w:rsidRDefault="00C20FED" w:rsidP="00BE119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36FF2">
        <w:rPr>
          <w:sz w:val="28"/>
          <w:szCs w:val="28"/>
        </w:rPr>
        <w:t>c</w:t>
      </w:r>
      <w:proofErr w:type="gramEnd"/>
      <w:r w:rsidRPr="00236FF2">
        <w:rPr>
          <w:sz w:val="28"/>
          <w:szCs w:val="28"/>
        </w:rPr>
        <w:t>.</w:t>
      </w:r>
    </w:p>
    <w:p w:rsidR="00C20FED" w:rsidRPr="00236FF2" w:rsidRDefault="00341306" w:rsidP="00BE1193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236FF2">
        <w:rPr>
          <w:sz w:val="28"/>
          <w:szCs w:val="28"/>
        </w:rPr>
        <w:t xml:space="preserve">In order to find in favor of </w:t>
      </w:r>
      <w:r w:rsidR="003E035D" w:rsidRPr="00236FF2">
        <w:rPr>
          <w:sz w:val="28"/>
          <w:szCs w:val="28"/>
        </w:rPr>
        <w:t>[</w:t>
      </w:r>
      <w:r w:rsidRPr="00236FF2">
        <w:rPr>
          <w:sz w:val="28"/>
          <w:szCs w:val="28"/>
        </w:rPr>
        <w:t>plaintiff</w:t>
      </w:r>
      <w:r w:rsidR="003E035D" w:rsidRPr="00236FF2">
        <w:rPr>
          <w:sz w:val="28"/>
          <w:szCs w:val="28"/>
        </w:rPr>
        <w:t>]</w:t>
      </w:r>
      <w:r w:rsidRPr="00236FF2">
        <w:rPr>
          <w:sz w:val="28"/>
          <w:szCs w:val="28"/>
        </w:rPr>
        <w:t xml:space="preserve"> on this claim, you must </w:t>
      </w:r>
      <w:r w:rsidR="00236F61" w:rsidRPr="00236FF2">
        <w:rPr>
          <w:sz w:val="28"/>
          <w:szCs w:val="28"/>
        </w:rPr>
        <w:t>find</w:t>
      </w:r>
      <w:r w:rsidR="00C20FED" w:rsidRPr="00236FF2">
        <w:rPr>
          <w:sz w:val="28"/>
          <w:szCs w:val="28"/>
        </w:rPr>
        <w:t xml:space="preserve"> that it is more likely true than not true</w:t>
      </w:r>
      <w:r w:rsidR="00085D9B" w:rsidRPr="00236FF2">
        <w:rPr>
          <w:sz w:val="28"/>
          <w:szCs w:val="28"/>
        </w:rPr>
        <w:t xml:space="preserve"> that</w:t>
      </w:r>
      <w:r w:rsidR="00C20FED" w:rsidRPr="00236FF2">
        <w:rPr>
          <w:sz w:val="28"/>
          <w:szCs w:val="28"/>
        </w:rPr>
        <w:t>:</w:t>
      </w:r>
    </w:p>
    <w:p w:rsidR="00C20FED" w:rsidRPr="00236FF2" w:rsidRDefault="00C20FED" w:rsidP="00BE1193">
      <w:pPr>
        <w:spacing w:line="360" w:lineRule="auto"/>
        <w:ind w:left="1440" w:hanging="720"/>
        <w:jc w:val="both"/>
        <w:rPr>
          <w:sz w:val="28"/>
          <w:szCs w:val="28"/>
        </w:rPr>
      </w:pPr>
      <w:r w:rsidRPr="00236FF2">
        <w:rPr>
          <w:sz w:val="28"/>
          <w:szCs w:val="28"/>
        </w:rPr>
        <w:t xml:space="preserve">(1) </w:t>
      </w:r>
      <w:r w:rsidR="00846EAF" w:rsidRPr="00236FF2">
        <w:rPr>
          <w:sz w:val="28"/>
          <w:szCs w:val="28"/>
        </w:rPr>
        <w:tab/>
      </w:r>
      <w:r w:rsidR="003E035D" w:rsidRPr="00236FF2">
        <w:rPr>
          <w:sz w:val="28"/>
          <w:szCs w:val="28"/>
        </w:rPr>
        <w:t>[</w:t>
      </w:r>
      <w:proofErr w:type="gramStart"/>
      <w:r w:rsidRPr="00236FF2">
        <w:rPr>
          <w:sz w:val="28"/>
          <w:szCs w:val="28"/>
        </w:rPr>
        <w:t>defendant</w:t>
      </w:r>
      <w:proofErr w:type="gramEnd"/>
      <w:r w:rsidR="003E035D" w:rsidRPr="00236FF2">
        <w:rPr>
          <w:sz w:val="28"/>
          <w:szCs w:val="28"/>
        </w:rPr>
        <w:t>]</w:t>
      </w:r>
      <w:r w:rsidRPr="00236FF2">
        <w:rPr>
          <w:sz w:val="28"/>
          <w:szCs w:val="28"/>
        </w:rPr>
        <w:t xml:space="preserve"> engaged in an unfair or deceptive act or practice;</w:t>
      </w:r>
    </w:p>
    <w:p w:rsidR="00C20FED" w:rsidRPr="00236FF2" w:rsidRDefault="00C20FED" w:rsidP="00BE1193">
      <w:pPr>
        <w:spacing w:line="360" w:lineRule="auto"/>
        <w:ind w:left="1440" w:hanging="720"/>
        <w:jc w:val="both"/>
        <w:rPr>
          <w:sz w:val="28"/>
          <w:szCs w:val="28"/>
        </w:rPr>
      </w:pPr>
      <w:r w:rsidRPr="00236FF2">
        <w:rPr>
          <w:sz w:val="28"/>
          <w:szCs w:val="28"/>
        </w:rPr>
        <w:t xml:space="preserve">(2) </w:t>
      </w:r>
      <w:r w:rsidR="00846EAF" w:rsidRPr="00236FF2">
        <w:rPr>
          <w:sz w:val="28"/>
          <w:szCs w:val="28"/>
        </w:rPr>
        <w:tab/>
      </w:r>
      <w:proofErr w:type="gramStart"/>
      <w:r w:rsidRPr="00236FF2">
        <w:rPr>
          <w:sz w:val="28"/>
          <w:szCs w:val="28"/>
        </w:rPr>
        <w:t>the</w:t>
      </w:r>
      <w:proofErr w:type="gramEnd"/>
      <w:r w:rsidRPr="00236FF2">
        <w:rPr>
          <w:sz w:val="28"/>
          <w:szCs w:val="28"/>
        </w:rPr>
        <w:t xml:space="preserve"> </w:t>
      </w:r>
      <w:r w:rsidR="00341306" w:rsidRPr="00236FF2">
        <w:rPr>
          <w:sz w:val="28"/>
          <w:szCs w:val="28"/>
        </w:rPr>
        <w:t xml:space="preserve">unfair or deceptive </w:t>
      </w:r>
      <w:r w:rsidRPr="00236FF2">
        <w:rPr>
          <w:sz w:val="28"/>
          <w:szCs w:val="28"/>
        </w:rPr>
        <w:t xml:space="preserve">act or practice occurred in </w:t>
      </w:r>
      <w:r w:rsidR="003E035D" w:rsidRPr="00236FF2">
        <w:rPr>
          <w:sz w:val="28"/>
          <w:szCs w:val="28"/>
        </w:rPr>
        <w:t>[</w:t>
      </w:r>
      <w:r w:rsidR="00CE3FF6" w:rsidRPr="00236FF2">
        <w:rPr>
          <w:sz w:val="28"/>
          <w:szCs w:val="28"/>
        </w:rPr>
        <w:t>defendant’s</w:t>
      </w:r>
      <w:r w:rsidR="003E035D" w:rsidRPr="00236FF2">
        <w:rPr>
          <w:sz w:val="28"/>
          <w:szCs w:val="28"/>
        </w:rPr>
        <w:t>]</w:t>
      </w:r>
      <w:r w:rsidR="00CE3FF6" w:rsidRPr="00236FF2">
        <w:rPr>
          <w:sz w:val="28"/>
          <w:szCs w:val="28"/>
        </w:rPr>
        <w:t xml:space="preserve"> </w:t>
      </w:r>
      <w:r w:rsidRPr="00236FF2">
        <w:rPr>
          <w:sz w:val="28"/>
          <w:szCs w:val="28"/>
        </w:rPr>
        <w:t>conduct of trade or commerce; and</w:t>
      </w:r>
    </w:p>
    <w:p w:rsidR="00C20FED" w:rsidRPr="00236FF2" w:rsidRDefault="00C20FED" w:rsidP="00BE1193">
      <w:pPr>
        <w:spacing w:line="360" w:lineRule="auto"/>
        <w:ind w:left="1440" w:hanging="720"/>
        <w:jc w:val="both"/>
        <w:rPr>
          <w:sz w:val="28"/>
          <w:szCs w:val="28"/>
        </w:rPr>
      </w:pPr>
      <w:r w:rsidRPr="00236FF2">
        <w:rPr>
          <w:sz w:val="28"/>
          <w:szCs w:val="28"/>
        </w:rPr>
        <w:t xml:space="preserve">(3) </w:t>
      </w:r>
      <w:r w:rsidR="00846EAF" w:rsidRPr="00236FF2">
        <w:rPr>
          <w:sz w:val="28"/>
          <w:szCs w:val="28"/>
        </w:rPr>
        <w:tab/>
      </w:r>
      <w:r w:rsidR="003E035D" w:rsidRPr="00236FF2">
        <w:rPr>
          <w:sz w:val="28"/>
          <w:szCs w:val="28"/>
        </w:rPr>
        <w:t>[</w:t>
      </w:r>
      <w:proofErr w:type="gramStart"/>
      <w:r w:rsidRPr="00236FF2">
        <w:rPr>
          <w:sz w:val="28"/>
          <w:szCs w:val="28"/>
        </w:rPr>
        <w:t>plaintiff</w:t>
      </w:r>
      <w:proofErr w:type="gramEnd"/>
      <w:r w:rsidR="003E035D" w:rsidRPr="00236FF2">
        <w:rPr>
          <w:sz w:val="28"/>
          <w:szCs w:val="28"/>
        </w:rPr>
        <w:t>]</w:t>
      </w:r>
      <w:r w:rsidRPr="00236FF2">
        <w:rPr>
          <w:sz w:val="28"/>
          <w:szCs w:val="28"/>
        </w:rPr>
        <w:t xml:space="preserve"> suffered an ascertainable loss of money or property as a result of the </w:t>
      </w:r>
      <w:r w:rsidR="00A76B50" w:rsidRPr="00236FF2">
        <w:rPr>
          <w:sz w:val="28"/>
          <w:szCs w:val="28"/>
        </w:rPr>
        <w:t>unfair or deceptive</w:t>
      </w:r>
      <w:r w:rsidRPr="00236FF2">
        <w:rPr>
          <w:sz w:val="28"/>
          <w:szCs w:val="28"/>
        </w:rPr>
        <w:t xml:space="preserve"> act or practice.</w:t>
      </w:r>
    </w:p>
    <w:p w:rsidR="00BE1193" w:rsidRDefault="00C20FED" w:rsidP="00BE1193">
      <w:pPr>
        <w:spacing w:line="360" w:lineRule="auto"/>
        <w:jc w:val="both"/>
        <w:rPr>
          <w:sz w:val="28"/>
          <w:szCs w:val="28"/>
        </w:rPr>
      </w:pPr>
      <w:r w:rsidRPr="00236FF2">
        <w:rPr>
          <w:sz w:val="28"/>
          <w:szCs w:val="28"/>
        </w:rPr>
        <w:t>The instructions that follow will explain how to make th</w:t>
      </w:r>
      <w:r w:rsidR="001B0633" w:rsidRPr="00236FF2">
        <w:rPr>
          <w:sz w:val="28"/>
          <w:szCs w:val="28"/>
        </w:rPr>
        <w:t>ese</w:t>
      </w:r>
      <w:r w:rsidRPr="00236FF2">
        <w:rPr>
          <w:sz w:val="28"/>
          <w:szCs w:val="28"/>
        </w:rPr>
        <w:t xml:space="preserve"> determination</w:t>
      </w:r>
      <w:r w:rsidR="001B0633" w:rsidRPr="00236FF2">
        <w:rPr>
          <w:sz w:val="28"/>
          <w:szCs w:val="28"/>
        </w:rPr>
        <w:t>s</w:t>
      </w:r>
      <w:r w:rsidRPr="00236FF2">
        <w:rPr>
          <w:sz w:val="28"/>
          <w:szCs w:val="28"/>
        </w:rPr>
        <w:t>.</w:t>
      </w:r>
    </w:p>
    <w:p w:rsidR="00BE1193" w:rsidRDefault="00BE1193" w:rsidP="00FE2E2C">
      <w:pPr>
        <w:jc w:val="center"/>
        <w:rPr>
          <w:sz w:val="28"/>
          <w:szCs w:val="28"/>
          <w:u w:val="single"/>
        </w:rPr>
      </w:pPr>
    </w:p>
    <w:p w:rsidR="00BE1193" w:rsidRDefault="00BE1193" w:rsidP="00FE2E2C">
      <w:pPr>
        <w:jc w:val="center"/>
        <w:rPr>
          <w:sz w:val="28"/>
          <w:szCs w:val="28"/>
          <w:u w:val="single"/>
        </w:rPr>
      </w:pPr>
    </w:p>
    <w:p w:rsidR="00FE2E2C" w:rsidRPr="00BE1193" w:rsidRDefault="00FE2E2C" w:rsidP="00FE2E2C">
      <w:pPr>
        <w:jc w:val="center"/>
        <w:rPr>
          <w:b/>
          <w:sz w:val="28"/>
          <w:szCs w:val="28"/>
        </w:rPr>
      </w:pPr>
      <w:r w:rsidRPr="00BE1193">
        <w:rPr>
          <w:b/>
          <w:sz w:val="28"/>
          <w:szCs w:val="28"/>
          <w:u w:val="single"/>
        </w:rPr>
        <w:t>Use Note</w:t>
      </w:r>
    </w:p>
    <w:p w:rsidR="00FE2E2C" w:rsidRPr="00236FF2" w:rsidRDefault="00FE2E2C" w:rsidP="00FE2E2C">
      <w:pPr>
        <w:jc w:val="center"/>
        <w:rPr>
          <w:sz w:val="28"/>
          <w:szCs w:val="28"/>
        </w:rPr>
      </w:pPr>
    </w:p>
    <w:p w:rsidR="00D15725" w:rsidRPr="00236FF2" w:rsidRDefault="00045738" w:rsidP="00FE2E2C">
      <w:pPr>
        <w:tabs>
          <w:tab w:val="left" w:pos="720"/>
        </w:tabs>
        <w:jc w:val="both"/>
        <w:rPr>
          <w:sz w:val="28"/>
          <w:szCs w:val="28"/>
        </w:rPr>
      </w:pPr>
      <w:r w:rsidRPr="00236FF2">
        <w:rPr>
          <w:sz w:val="28"/>
          <w:szCs w:val="28"/>
        </w:rPr>
        <w:t xml:space="preserve">This instruction should be given </w:t>
      </w:r>
      <w:r w:rsidR="00ED0629">
        <w:rPr>
          <w:sz w:val="28"/>
          <w:szCs w:val="28"/>
        </w:rPr>
        <w:t xml:space="preserve">in an action under AS 45.50.531(a) </w:t>
      </w:r>
      <w:r w:rsidRPr="00236FF2">
        <w:rPr>
          <w:sz w:val="28"/>
          <w:szCs w:val="28"/>
        </w:rPr>
        <w:t xml:space="preserve">when the plaintiff claims that the defendant violated the general prohibition against </w:t>
      </w:r>
      <w:r w:rsidR="00FA4372" w:rsidRPr="00236FF2">
        <w:rPr>
          <w:sz w:val="28"/>
          <w:szCs w:val="28"/>
        </w:rPr>
        <w:t>u</w:t>
      </w:r>
      <w:r w:rsidRPr="00236FF2">
        <w:rPr>
          <w:sz w:val="28"/>
          <w:szCs w:val="28"/>
        </w:rPr>
        <w:t>nfair or deceptive practices</w:t>
      </w:r>
      <w:r w:rsidR="00551367" w:rsidRPr="00236FF2">
        <w:rPr>
          <w:sz w:val="28"/>
          <w:szCs w:val="28"/>
        </w:rPr>
        <w:t>,</w:t>
      </w:r>
      <w:r w:rsidRPr="00236FF2">
        <w:rPr>
          <w:sz w:val="28"/>
          <w:szCs w:val="28"/>
        </w:rPr>
        <w:t xml:space="preserve"> </w:t>
      </w:r>
      <w:r w:rsidR="00551367" w:rsidRPr="00236FF2">
        <w:rPr>
          <w:sz w:val="28"/>
          <w:szCs w:val="28"/>
        </w:rPr>
        <w:t xml:space="preserve">as stated </w:t>
      </w:r>
      <w:r w:rsidR="00FA4372" w:rsidRPr="00236FF2">
        <w:rPr>
          <w:sz w:val="28"/>
          <w:szCs w:val="28"/>
        </w:rPr>
        <w:t xml:space="preserve">in </w:t>
      </w:r>
      <w:r w:rsidR="00551367" w:rsidRPr="00236FF2">
        <w:rPr>
          <w:sz w:val="28"/>
          <w:szCs w:val="28"/>
        </w:rPr>
        <w:t>AS</w:t>
      </w:r>
      <w:r w:rsidR="00FA4372" w:rsidRPr="00236FF2">
        <w:rPr>
          <w:sz w:val="28"/>
          <w:szCs w:val="28"/>
        </w:rPr>
        <w:t xml:space="preserve"> 45.50.471(a) </w:t>
      </w:r>
      <w:r w:rsidRPr="00236FF2">
        <w:rPr>
          <w:sz w:val="28"/>
          <w:szCs w:val="28"/>
        </w:rPr>
        <w:t xml:space="preserve">(as opposed to </w:t>
      </w:r>
      <w:r w:rsidR="00551367" w:rsidRPr="00236FF2">
        <w:rPr>
          <w:sz w:val="28"/>
          <w:szCs w:val="28"/>
        </w:rPr>
        <w:t xml:space="preserve">engaging in a prohibited practice listed </w:t>
      </w:r>
      <w:r w:rsidRPr="00236FF2">
        <w:rPr>
          <w:sz w:val="28"/>
          <w:szCs w:val="28"/>
        </w:rPr>
        <w:t xml:space="preserve">in </w:t>
      </w:r>
      <w:r w:rsidR="005376FC" w:rsidRPr="00236FF2">
        <w:rPr>
          <w:sz w:val="28"/>
          <w:szCs w:val="28"/>
        </w:rPr>
        <w:t>AS</w:t>
      </w:r>
      <w:r w:rsidRPr="00236FF2">
        <w:rPr>
          <w:sz w:val="28"/>
          <w:szCs w:val="28"/>
        </w:rPr>
        <w:t xml:space="preserve"> 45.50.471(b</w:t>
      </w:r>
      <w:r w:rsidR="00FA4372" w:rsidRPr="00236FF2">
        <w:rPr>
          <w:sz w:val="28"/>
          <w:szCs w:val="28"/>
        </w:rPr>
        <w:t>)</w:t>
      </w:r>
      <w:r w:rsidRPr="00236FF2">
        <w:rPr>
          <w:sz w:val="28"/>
          <w:szCs w:val="28"/>
        </w:rPr>
        <w:t xml:space="preserve">). </w:t>
      </w:r>
      <w:r w:rsidR="00FE2E2C" w:rsidRPr="00236FF2">
        <w:rPr>
          <w:sz w:val="28"/>
          <w:szCs w:val="28"/>
        </w:rPr>
        <w:t xml:space="preserve"> If this instruction is </w:t>
      </w:r>
      <w:r w:rsidR="00BE1193">
        <w:rPr>
          <w:sz w:val="28"/>
          <w:szCs w:val="28"/>
        </w:rPr>
        <w:t>given,</w:t>
      </w:r>
      <w:r w:rsidR="00FE2E2C" w:rsidRPr="00236FF2">
        <w:rPr>
          <w:sz w:val="28"/>
          <w:szCs w:val="28"/>
        </w:rPr>
        <w:t xml:space="preserve"> instructions </w:t>
      </w:r>
      <w:r w:rsidR="00AE54F2" w:rsidRPr="00236FF2">
        <w:rPr>
          <w:sz w:val="28"/>
          <w:szCs w:val="28"/>
        </w:rPr>
        <w:t xml:space="preserve">10.02, </w:t>
      </w:r>
      <w:r w:rsidR="00FE2E2C" w:rsidRPr="00236FF2">
        <w:rPr>
          <w:sz w:val="28"/>
          <w:szCs w:val="28"/>
        </w:rPr>
        <w:t>10.03A</w:t>
      </w:r>
      <w:r w:rsidR="00D15725" w:rsidRPr="00236FF2">
        <w:rPr>
          <w:sz w:val="28"/>
          <w:szCs w:val="28"/>
        </w:rPr>
        <w:t xml:space="preserve">, </w:t>
      </w:r>
      <w:r w:rsidR="00FE2E2C" w:rsidRPr="00236FF2">
        <w:rPr>
          <w:sz w:val="28"/>
          <w:szCs w:val="28"/>
        </w:rPr>
        <w:t xml:space="preserve">10.03B </w:t>
      </w:r>
      <w:r w:rsidR="00D15725" w:rsidRPr="00236FF2">
        <w:rPr>
          <w:sz w:val="28"/>
          <w:szCs w:val="28"/>
        </w:rPr>
        <w:t>and 10.04</w:t>
      </w:r>
      <w:r w:rsidR="00551367" w:rsidRPr="00236FF2">
        <w:rPr>
          <w:sz w:val="28"/>
          <w:szCs w:val="28"/>
        </w:rPr>
        <w:t xml:space="preserve"> </w:t>
      </w:r>
      <w:r w:rsidRPr="00236FF2">
        <w:rPr>
          <w:sz w:val="28"/>
          <w:szCs w:val="28"/>
        </w:rPr>
        <w:t>must</w:t>
      </w:r>
      <w:r w:rsidR="00FE2E2C" w:rsidRPr="00236FF2">
        <w:rPr>
          <w:sz w:val="28"/>
          <w:szCs w:val="28"/>
        </w:rPr>
        <w:t xml:space="preserve"> also be given. </w:t>
      </w:r>
    </w:p>
    <w:p w:rsidR="00D15725" w:rsidRPr="00236FF2" w:rsidRDefault="00D15725" w:rsidP="00FE2E2C">
      <w:pPr>
        <w:tabs>
          <w:tab w:val="left" w:pos="720"/>
        </w:tabs>
        <w:jc w:val="both"/>
        <w:rPr>
          <w:sz w:val="28"/>
          <w:szCs w:val="28"/>
        </w:rPr>
      </w:pPr>
    </w:p>
    <w:p w:rsidR="00FE2E2C" w:rsidRPr="00236FF2" w:rsidRDefault="00FE2E2C" w:rsidP="00FE2E2C">
      <w:pPr>
        <w:tabs>
          <w:tab w:val="left" w:pos="720"/>
        </w:tabs>
        <w:jc w:val="both"/>
        <w:rPr>
          <w:sz w:val="28"/>
          <w:szCs w:val="28"/>
        </w:rPr>
      </w:pPr>
      <w:r w:rsidRPr="00236FF2">
        <w:rPr>
          <w:sz w:val="28"/>
          <w:szCs w:val="28"/>
        </w:rPr>
        <w:t xml:space="preserve">If plaintiff alleges that defendant engaged in conduct that constituted </w:t>
      </w:r>
      <w:r w:rsidR="00551367" w:rsidRPr="00236FF2">
        <w:rPr>
          <w:sz w:val="28"/>
          <w:szCs w:val="28"/>
        </w:rPr>
        <w:t xml:space="preserve">a violation of </w:t>
      </w:r>
      <w:r w:rsidR="003E035D" w:rsidRPr="00236FF2">
        <w:rPr>
          <w:sz w:val="28"/>
          <w:szCs w:val="28"/>
        </w:rPr>
        <w:t xml:space="preserve">45.50.471(a) </w:t>
      </w:r>
      <w:r w:rsidRPr="00236FF2">
        <w:rPr>
          <w:sz w:val="28"/>
          <w:szCs w:val="28"/>
          <w:u w:val="single"/>
        </w:rPr>
        <w:t>and</w:t>
      </w:r>
      <w:r w:rsidRPr="00236FF2">
        <w:rPr>
          <w:sz w:val="28"/>
          <w:szCs w:val="28"/>
        </w:rPr>
        <w:t xml:space="preserve"> </w:t>
      </w:r>
      <w:r w:rsidR="00551367" w:rsidRPr="00236FF2">
        <w:rPr>
          <w:sz w:val="28"/>
          <w:szCs w:val="28"/>
        </w:rPr>
        <w:t xml:space="preserve">that the defendant also engaged in </w:t>
      </w:r>
      <w:r w:rsidR="005376FC" w:rsidRPr="00236FF2">
        <w:rPr>
          <w:sz w:val="28"/>
          <w:szCs w:val="28"/>
        </w:rPr>
        <w:t xml:space="preserve">conduct that </w:t>
      </w:r>
      <w:r w:rsidR="00FA4372" w:rsidRPr="00236FF2">
        <w:rPr>
          <w:sz w:val="28"/>
          <w:szCs w:val="28"/>
        </w:rPr>
        <w:t>violat</w:t>
      </w:r>
      <w:r w:rsidR="005376FC" w:rsidRPr="00236FF2">
        <w:rPr>
          <w:sz w:val="28"/>
          <w:szCs w:val="28"/>
        </w:rPr>
        <w:t>ed</w:t>
      </w:r>
      <w:r w:rsidR="00FA4372" w:rsidRPr="00236FF2">
        <w:rPr>
          <w:sz w:val="28"/>
          <w:szCs w:val="28"/>
        </w:rPr>
        <w:t xml:space="preserve"> </w:t>
      </w:r>
      <w:r w:rsidRPr="00236FF2">
        <w:rPr>
          <w:sz w:val="28"/>
          <w:szCs w:val="28"/>
        </w:rPr>
        <w:t xml:space="preserve">one of the </w:t>
      </w:r>
      <w:r w:rsidR="00D15725" w:rsidRPr="00236FF2">
        <w:rPr>
          <w:sz w:val="28"/>
          <w:szCs w:val="28"/>
        </w:rPr>
        <w:t xml:space="preserve">specific </w:t>
      </w:r>
      <w:r w:rsidR="00FA4372" w:rsidRPr="00236FF2">
        <w:rPr>
          <w:sz w:val="28"/>
          <w:szCs w:val="28"/>
        </w:rPr>
        <w:t>prohibitions listed</w:t>
      </w:r>
      <w:r w:rsidR="00551367" w:rsidRPr="00236FF2">
        <w:rPr>
          <w:sz w:val="28"/>
          <w:szCs w:val="28"/>
        </w:rPr>
        <w:t xml:space="preserve"> </w:t>
      </w:r>
      <w:r w:rsidRPr="00236FF2">
        <w:rPr>
          <w:sz w:val="28"/>
          <w:szCs w:val="28"/>
        </w:rPr>
        <w:t xml:space="preserve">in AS 45.50.471(b), </w:t>
      </w:r>
      <w:r w:rsidR="00D15725" w:rsidRPr="00236FF2">
        <w:rPr>
          <w:sz w:val="28"/>
          <w:szCs w:val="28"/>
        </w:rPr>
        <w:t>Inst</w:t>
      </w:r>
      <w:r w:rsidR="005376FC" w:rsidRPr="00236FF2">
        <w:rPr>
          <w:sz w:val="28"/>
          <w:szCs w:val="28"/>
        </w:rPr>
        <w:t>ru</w:t>
      </w:r>
      <w:r w:rsidR="00D15725" w:rsidRPr="00236FF2">
        <w:rPr>
          <w:sz w:val="28"/>
          <w:szCs w:val="28"/>
        </w:rPr>
        <w:t xml:space="preserve">ction </w:t>
      </w:r>
      <w:r w:rsidRPr="00236FF2">
        <w:rPr>
          <w:sz w:val="28"/>
          <w:szCs w:val="28"/>
        </w:rPr>
        <w:t>10.01B should also be given</w:t>
      </w:r>
      <w:r w:rsidR="005376FC" w:rsidRPr="00236FF2">
        <w:rPr>
          <w:sz w:val="28"/>
          <w:szCs w:val="28"/>
        </w:rPr>
        <w:t>.  In that event</w:t>
      </w:r>
      <w:r w:rsidR="00D15725" w:rsidRPr="00236FF2">
        <w:rPr>
          <w:sz w:val="28"/>
          <w:szCs w:val="28"/>
        </w:rPr>
        <w:t>,</w:t>
      </w:r>
      <w:r w:rsidRPr="00236FF2">
        <w:rPr>
          <w:sz w:val="28"/>
          <w:szCs w:val="28"/>
        </w:rPr>
        <w:t xml:space="preserve"> </w:t>
      </w:r>
      <w:r w:rsidR="00D15725" w:rsidRPr="00236FF2">
        <w:rPr>
          <w:sz w:val="28"/>
          <w:szCs w:val="28"/>
        </w:rPr>
        <w:t xml:space="preserve">Instructions </w:t>
      </w:r>
      <w:r w:rsidRPr="00236FF2">
        <w:rPr>
          <w:sz w:val="28"/>
          <w:szCs w:val="28"/>
        </w:rPr>
        <w:t xml:space="preserve">10.03A and 10.03B </w:t>
      </w:r>
      <w:r w:rsidR="00551367" w:rsidRPr="00236FF2">
        <w:rPr>
          <w:sz w:val="28"/>
          <w:szCs w:val="28"/>
        </w:rPr>
        <w:t xml:space="preserve">must be given, </w:t>
      </w:r>
      <w:r w:rsidR="005376FC" w:rsidRPr="00236FF2">
        <w:rPr>
          <w:sz w:val="28"/>
          <w:szCs w:val="28"/>
        </w:rPr>
        <w:t xml:space="preserve">but they </w:t>
      </w:r>
      <w:r w:rsidR="005376FC" w:rsidRPr="00236FF2">
        <w:rPr>
          <w:sz w:val="28"/>
          <w:szCs w:val="28"/>
        </w:rPr>
        <w:lastRenderedPageBreak/>
        <w:t>must</w:t>
      </w:r>
      <w:r w:rsidR="00D15725" w:rsidRPr="00236FF2">
        <w:rPr>
          <w:sz w:val="28"/>
          <w:szCs w:val="28"/>
        </w:rPr>
        <w:t xml:space="preserve"> be </w:t>
      </w:r>
      <w:r w:rsidRPr="00236FF2">
        <w:rPr>
          <w:sz w:val="28"/>
          <w:szCs w:val="28"/>
        </w:rPr>
        <w:t xml:space="preserve">modified to </w:t>
      </w:r>
      <w:r w:rsidR="00551367" w:rsidRPr="00236FF2">
        <w:rPr>
          <w:sz w:val="28"/>
          <w:szCs w:val="28"/>
        </w:rPr>
        <w:t>explain</w:t>
      </w:r>
      <w:r w:rsidRPr="00236FF2">
        <w:rPr>
          <w:sz w:val="28"/>
          <w:szCs w:val="28"/>
        </w:rPr>
        <w:t xml:space="preserve"> that they do not apply to </w:t>
      </w:r>
      <w:r w:rsidR="00551367" w:rsidRPr="00236FF2">
        <w:rPr>
          <w:sz w:val="28"/>
          <w:szCs w:val="28"/>
        </w:rPr>
        <w:t xml:space="preserve">the </w:t>
      </w:r>
      <w:r w:rsidRPr="00236FF2">
        <w:rPr>
          <w:sz w:val="28"/>
          <w:szCs w:val="28"/>
        </w:rPr>
        <w:t>claim</w:t>
      </w:r>
      <w:r w:rsidR="00551367" w:rsidRPr="00236FF2">
        <w:rPr>
          <w:sz w:val="28"/>
          <w:szCs w:val="28"/>
        </w:rPr>
        <w:t>s that are based on</w:t>
      </w:r>
      <w:r w:rsidRPr="00236FF2">
        <w:rPr>
          <w:sz w:val="28"/>
          <w:szCs w:val="28"/>
        </w:rPr>
        <w:t xml:space="preserve"> AS 45.50.471(b).  </w:t>
      </w:r>
    </w:p>
    <w:p w:rsidR="00C20FED" w:rsidRPr="00BE1193" w:rsidRDefault="00C20FED" w:rsidP="0058752A">
      <w:pPr>
        <w:tabs>
          <w:tab w:val="center" w:pos="4680"/>
        </w:tabs>
        <w:jc w:val="both"/>
        <w:rPr>
          <w:b/>
          <w:sz w:val="28"/>
          <w:szCs w:val="28"/>
        </w:rPr>
      </w:pPr>
      <w:r w:rsidRPr="00236FF2">
        <w:rPr>
          <w:sz w:val="28"/>
          <w:szCs w:val="28"/>
        </w:rPr>
        <w:tab/>
      </w:r>
      <w:r w:rsidRPr="00BE1193">
        <w:rPr>
          <w:b/>
          <w:sz w:val="28"/>
          <w:szCs w:val="28"/>
          <w:u w:val="single"/>
        </w:rPr>
        <w:t>Comment</w:t>
      </w:r>
    </w:p>
    <w:p w:rsidR="00C20FED" w:rsidRPr="00236FF2" w:rsidRDefault="00C20FED" w:rsidP="0058752A">
      <w:pPr>
        <w:jc w:val="both"/>
        <w:rPr>
          <w:sz w:val="28"/>
          <w:szCs w:val="28"/>
          <w:u w:val="single"/>
        </w:rPr>
      </w:pPr>
    </w:p>
    <w:p w:rsidR="007F4229" w:rsidRPr="00236FF2" w:rsidRDefault="00C20FED" w:rsidP="0058752A">
      <w:pPr>
        <w:jc w:val="both"/>
        <w:rPr>
          <w:sz w:val="28"/>
          <w:szCs w:val="28"/>
        </w:rPr>
      </w:pPr>
      <w:r w:rsidRPr="00236FF2">
        <w:rPr>
          <w:sz w:val="28"/>
          <w:szCs w:val="28"/>
        </w:rPr>
        <w:t xml:space="preserve">The first two </w:t>
      </w:r>
      <w:r w:rsidR="00D15725" w:rsidRPr="00236FF2">
        <w:rPr>
          <w:sz w:val="28"/>
          <w:szCs w:val="28"/>
        </w:rPr>
        <w:t>elements</w:t>
      </w:r>
      <w:r w:rsidRPr="00236FF2">
        <w:rPr>
          <w:sz w:val="28"/>
          <w:szCs w:val="28"/>
        </w:rPr>
        <w:t xml:space="preserve"> of th</w:t>
      </w:r>
      <w:r w:rsidR="00D15725" w:rsidRPr="00236FF2">
        <w:rPr>
          <w:sz w:val="28"/>
          <w:szCs w:val="28"/>
        </w:rPr>
        <w:t>e</w:t>
      </w:r>
      <w:r w:rsidRPr="00236FF2">
        <w:rPr>
          <w:sz w:val="28"/>
          <w:szCs w:val="28"/>
        </w:rPr>
        <w:t xml:space="preserve"> test for “a prima facie case of unfair or deceptive acts or practices under the Alaska Act” are taken from </w:t>
      </w:r>
      <w:r w:rsidRPr="00236FF2">
        <w:rPr>
          <w:i/>
          <w:sz w:val="28"/>
          <w:szCs w:val="28"/>
        </w:rPr>
        <w:t>State v. O’Neill Investigations, Inc.</w:t>
      </w:r>
      <w:r w:rsidRPr="00236FF2">
        <w:rPr>
          <w:sz w:val="28"/>
          <w:szCs w:val="28"/>
        </w:rPr>
        <w:t xml:space="preserve">, 609 P.2d 520, 534 (Alaska 1980).  </w:t>
      </w:r>
      <w:proofErr w:type="gramStart"/>
      <w:r w:rsidR="00341306" w:rsidRPr="00236FF2">
        <w:rPr>
          <w:sz w:val="28"/>
          <w:szCs w:val="28"/>
        </w:rPr>
        <w:t xml:space="preserve">In </w:t>
      </w:r>
      <w:r w:rsidR="00341306" w:rsidRPr="00236FF2">
        <w:rPr>
          <w:i/>
          <w:sz w:val="28"/>
          <w:szCs w:val="28"/>
        </w:rPr>
        <w:t xml:space="preserve">ASRC Energy </w:t>
      </w:r>
      <w:proofErr w:type="spellStart"/>
      <w:r w:rsidR="00341306" w:rsidRPr="00236FF2">
        <w:rPr>
          <w:i/>
          <w:sz w:val="28"/>
          <w:szCs w:val="28"/>
        </w:rPr>
        <w:t>Servs</w:t>
      </w:r>
      <w:proofErr w:type="spellEnd"/>
      <w:r w:rsidR="00341306" w:rsidRPr="00236FF2">
        <w:rPr>
          <w:i/>
          <w:sz w:val="28"/>
          <w:szCs w:val="28"/>
        </w:rPr>
        <w:t>.</w:t>
      </w:r>
      <w:proofErr w:type="gramEnd"/>
      <w:r w:rsidR="00341306" w:rsidRPr="00236FF2">
        <w:rPr>
          <w:i/>
          <w:sz w:val="28"/>
          <w:szCs w:val="28"/>
        </w:rPr>
        <w:t xml:space="preserve"> Power &amp; </w:t>
      </w:r>
      <w:proofErr w:type="spellStart"/>
      <w:r w:rsidR="00341306" w:rsidRPr="00236FF2">
        <w:rPr>
          <w:i/>
          <w:sz w:val="28"/>
          <w:szCs w:val="28"/>
        </w:rPr>
        <w:t>Commc'ns</w:t>
      </w:r>
      <w:proofErr w:type="spellEnd"/>
      <w:r w:rsidR="00341306" w:rsidRPr="00236FF2">
        <w:rPr>
          <w:i/>
          <w:sz w:val="28"/>
          <w:szCs w:val="28"/>
        </w:rPr>
        <w:t xml:space="preserve">, LLC v. Golden Valley Elec. </w:t>
      </w:r>
      <w:proofErr w:type="spellStart"/>
      <w:r w:rsidR="00341306" w:rsidRPr="00236FF2">
        <w:rPr>
          <w:i/>
          <w:sz w:val="28"/>
          <w:szCs w:val="28"/>
        </w:rPr>
        <w:t>Ass'n</w:t>
      </w:r>
      <w:proofErr w:type="spellEnd"/>
      <w:r w:rsidR="00341306" w:rsidRPr="00236FF2">
        <w:rPr>
          <w:sz w:val="28"/>
          <w:szCs w:val="28"/>
        </w:rPr>
        <w:t xml:space="preserve">, 267 P.3d 1151 (Alaska 2011), the Alaska Supreme Court further summarized the </w:t>
      </w:r>
      <w:r w:rsidR="00540CF7" w:rsidRPr="00236FF2">
        <w:rPr>
          <w:sz w:val="28"/>
          <w:szCs w:val="28"/>
        </w:rPr>
        <w:t xml:space="preserve">first two </w:t>
      </w:r>
      <w:r w:rsidR="00341306" w:rsidRPr="00236FF2">
        <w:rPr>
          <w:sz w:val="28"/>
          <w:szCs w:val="28"/>
        </w:rPr>
        <w:t>elements that must be proved:</w:t>
      </w:r>
      <w:r w:rsidR="00A47EC0" w:rsidRPr="00236FF2">
        <w:rPr>
          <w:sz w:val="28"/>
          <w:szCs w:val="28"/>
        </w:rPr>
        <w:t xml:space="preserve">  “</w:t>
      </w:r>
      <w:r w:rsidR="00341306" w:rsidRPr="00236FF2">
        <w:rPr>
          <w:sz w:val="28"/>
          <w:szCs w:val="28"/>
        </w:rPr>
        <w:t>Two elements must be proved to establish a prima facie case of unfair or deceptive acts or practices under the [UTPA]: (1) that the defendant is engaged in trade or commerce; and (2) that in the conduct of trade or commerce, an unfair act or practice has occurred.”</w:t>
      </w:r>
      <w:r w:rsidR="00A47EC0" w:rsidRPr="00236FF2">
        <w:rPr>
          <w:sz w:val="28"/>
          <w:szCs w:val="28"/>
        </w:rPr>
        <w:t xml:space="preserve"> </w:t>
      </w:r>
      <w:r w:rsidR="00341306" w:rsidRPr="00236FF2">
        <w:rPr>
          <w:sz w:val="28"/>
          <w:szCs w:val="28"/>
        </w:rPr>
        <w:t xml:space="preserve"> </w:t>
      </w:r>
      <w:proofErr w:type="gramStart"/>
      <w:r w:rsidR="00341306" w:rsidRPr="00236FF2">
        <w:rPr>
          <w:i/>
          <w:sz w:val="28"/>
          <w:szCs w:val="28"/>
        </w:rPr>
        <w:t>Id.</w:t>
      </w:r>
      <w:r w:rsidR="00341306" w:rsidRPr="00236FF2">
        <w:rPr>
          <w:sz w:val="28"/>
          <w:szCs w:val="28"/>
        </w:rPr>
        <w:t xml:space="preserve"> at 1158-59 (quoting </w:t>
      </w:r>
      <w:r w:rsidR="00341306" w:rsidRPr="00236FF2">
        <w:rPr>
          <w:i/>
          <w:sz w:val="28"/>
          <w:szCs w:val="28"/>
        </w:rPr>
        <w:t>O'Neill Investigations</w:t>
      </w:r>
      <w:r w:rsidR="00341306" w:rsidRPr="00236FF2">
        <w:rPr>
          <w:sz w:val="28"/>
          <w:szCs w:val="28"/>
        </w:rPr>
        <w:t xml:space="preserve">, 609 P.2d </w:t>
      </w:r>
      <w:r w:rsidR="002B410E">
        <w:rPr>
          <w:sz w:val="28"/>
          <w:szCs w:val="28"/>
        </w:rPr>
        <w:t>at</w:t>
      </w:r>
      <w:r w:rsidR="00341306" w:rsidRPr="00236FF2">
        <w:rPr>
          <w:sz w:val="28"/>
          <w:szCs w:val="28"/>
        </w:rPr>
        <w:t xml:space="preserve"> 524</w:t>
      </w:r>
      <w:r w:rsidR="002B410E">
        <w:rPr>
          <w:sz w:val="28"/>
          <w:szCs w:val="28"/>
        </w:rPr>
        <w:t>)</w:t>
      </w:r>
      <w:r w:rsidR="00341306" w:rsidRPr="00236FF2">
        <w:rPr>
          <w:sz w:val="28"/>
          <w:szCs w:val="28"/>
        </w:rPr>
        <w:t>.</w:t>
      </w:r>
      <w:proofErr w:type="gramEnd"/>
      <w:r w:rsidR="00341306" w:rsidRPr="00236FF2">
        <w:rPr>
          <w:sz w:val="28"/>
          <w:szCs w:val="28"/>
        </w:rPr>
        <w:t xml:space="preserve"> </w:t>
      </w:r>
      <w:r w:rsidR="00A85DD1" w:rsidRPr="00236FF2">
        <w:rPr>
          <w:sz w:val="28"/>
          <w:szCs w:val="28"/>
        </w:rPr>
        <w:t xml:space="preserve">The third </w:t>
      </w:r>
      <w:r w:rsidR="00236F61" w:rsidRPr="00236FF2">
        <w:rPr>
          <w:sz w:val="28"/>
          <w:szCs w:val="28"/>
        </w:rPr>
        <w:t>element</w:t>
      </w:r>
      <w:r w:rsidR="00A85DD1" w:rsidRPr="00236FF2">
        <w:rPr>
          <w:sz w:val="28"/>
          <w:szCs w:val="28"/>
        </w:rPr>
        <w:t xml:space="preserve"> of the test, requiring proof</w:t>
      </w:r>
      <w:r w:rsidRPr="00236FF2">
        <w:rPr>
          <w:sz w:val="28"/>
          <w:szCs w:val="28"/>
        </w:rPr>
        <w:t xml:space="preserve"> of causation and damages</w:t>
      </w:r>
      <w:r w:rsidR="00A85DD1" w:rsidRPr="00236FF2">
        <w:rPr>
          <w:sz w:val="28"/>
          <w:szCs w:val="28"/>
        </w:rPr>
        <w:t>,</w:t>
      </w:r>
      <w:r w:rsidRPr="00236FF2">
        <w:rPr>
          <w:sz w:val="28"/>
          <w:szCs w:val="28"/>
        </w:rPr>
        <w:t xml:space="preserve"> is taken from AS 45.50.531</w:t>
      </w:r>
      <w:r w:rsidR="001B0633" w:rsidRPr="00236FF2">
        <w:rPr>
          <w:sz w:val="28"/>
          <w:szCs w:val="28"/>
        </w:rPr>
        <w:t>(a)</w:t>
      </w:r>
      <w:r w:rsidR="00A85DD1" w:rsidRPr="00236FF2">
        <w:rPr>
          <w:sz w:val="28"/>
          <w:szCs w:val="28"/>
        </w:rPr>
        <w:t xml:space="preserve">. This statute </w:t>
      </w:r>
      <w:r w:rsidRPr="00236FF2">
        <w:rPr>
          <w:sz w:val="28"/>
          <w:szCs w:val="28"/>
        </w:rPr>
        <w:t xml:space="preserve">provides that “[a] person who suffers an ascertainable loss of money or property as a result of another person’s act or practice declared unlawful by AS 45.50.471 may bring a civil action to recover for </w:t>
      </w:r>
      <w:r w:rsidR="001B0633" w:rsidRPr="00236FF2">
        <w:rPr>
          <w:sz w:val="28"/>
          <w:szCs w:val="28"/>
        </w:rPr>
        <w:t>each</w:t>
      </w:r>
      <w:r w:rsidRPr="00236FF2">
        <w:rPr>
          <w:sz w:val="28"/>
          <w:szCs w:val="28"/>
        </w:rPr>
        <w:t xml:space="preserve"> unlawful act or practice three times the actual damages or $500, whichever is greater.”</w:t>
      </w:r>
      <w:r w:rsidR="002326E8" w:rsidRPr="00236FF2">
        <w:rPr>
          <w:sz w:val="28"/>
          <w:szCs w:val="28"/>
        </w:rPr>
        <w:t xml:space="preserve">  </w:t>
      </w:r>
    </w:p>
    <w:p w:rsidR="00FE2E2C" w:rsidRPr="00236FF2" w:rsidRDefault="00FE2E2C" w:rsidP="0058752A">
      <w:pPr>
        <w:jc w:val="both"/>
        <w:rPr>
          <w:sz w:val="28"/>
          <w:szCs w:val="28"/>
        </w:rPr>
      </w:pPr>
    </w:p>
    <w:p w:rsidR="00FE2E2C" w:rsidRPr="00236FF2" w:rsidRDefault="00FE2E2C" w:rsidP="00FE2E2C">
      <w:pPr>
        <w:jc w:val="both"/>
        <w:rPr>
          <w:sz w:val="28"/>
          <w:szCs w:val="28"/>
        </w:rPr>
      </w:pPr>
      <w:r w:rsidRPr="00236FF2">
        <w:rPr>
          <w:sz w:val="28"/>
          <w:szCs w:val="28"/>
        </w:rPr>
        <w:t xml:space="preserve">See Comment to </w:t>
      </w:r>
      <w:r w:rsidR="005463E6">
        <w:rPr>
          <w:sz w:val="28"/>
          <w:szCs w:val="28"/>
        </w:rPr>
        <w:t xml:space="preserve">Instruction </w:t>
      </w:r>
      <w:r w:rsidRPr="00236FF2">
        <w:rPr>
          <w:sz w:val="28"/>
          <w:szCs w:val="28"/>
        </w:rPr>
        <w:t>10.01B for a discussion on the causation element of a claim under AS 45.50.</w:t>
      </w:r>
      <w:r w:rsidR="005463E6">
        <w:rPr>
          <w:sz w:val="28"/>
          <w:szCs w:val="28"/>
        </w:rPr>
        <w:t>531</w:t>
      </w:r>
      <w:r w:rsidRPr="00236FF2">
        <w:rPr>
          <w:sz w:val="28"/>
          <w:szCs w:val="28"/>
        </w:rPr>
        <w:t xml:space="preserve">(a).  </w:t>
      </w:r>
    </w:p>
    <w:p w:rsidR="007F4229" w:rsidRPr="00236FF2" w:rsidRDefault="007F4229" w:rsidP="00FE2E2C">
      <w:pPr>
        <w:jc w:val="center"/>
        <w:rPr>
          <w:sz w:val="28"/>
          <w:szCs w:val="28"/>
        </w:rPr>
      </w:pPr>
    </w:p>
    <w:p w:rsidR="00C20FED" w:rsidRPr="00236FF2" w:rsidRDefault="00C20FED" w:rsidP="009147F8">
      <w:pPr>
        <w:spacing w:line="480" w:lineRule="auto"/>
        <w:ind w:firstLine="720"/>
        <w:jc w:val="both"/>
        <w:rPr>
          <w:sz w:val="28"/>
          <w:szCs w:val="28"/>
          <w:u w:val="single"/>
        </w:rPr>
      </w:pPr>
    </w:p>
    <w:sectPr w:rsidR="00C20FED" w:rsidRPr="00236FF2" w:rsidSect="00A70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0" w:right="1440" w:bottom="1440" w:left="1440" w:header="72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03" w:rsidRDefault="00683403">
      <w:r>
        <w:separator/>
      </w:r>
    </w:p>
  </w:endnote>
  <w:endnote w:type="continuationSeparator" w:id="0">
    <w:p w:rsidR="00683403" w:rsidRDefault="0068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A" w:rsidRDefault="00CB4C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93" w:rsidRDefault="00BE1193" w:rsidP="00BE1193">
    <w:pPr>
      <w:pStyle w:val="Footer"/>
      <w:tabs>
        <w:tab w:val="clear" w:pos="8640"/>
      </w:tabs>
      <w:rPr>
        <w:sz w:val="22"/>
        <w:szCs w:val="22"/>
      </w:rPr>
    </w:pPr>
    <w:r>
      <w:rPr>
        <w:sz w:val="22"/>
        <w:szCs w:val="22"/>
      </w:rPr>
      <w:t>Revised 2020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</w:t>
    </w:r>
    <w:r w:rsidRPr="00BE1193">
      <w:rPr>
        <w:sz w:val="22"/>
        <w:szCs w:val="22"/>
      </w:rPr>
      <w:t xml:space="preserve">10.01A - </w: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Pr="00BE1193">
          <w:rPr>
            <w:sz w:val="22"/>
            <w:szCs w:val="22"/>
          </w:rPr>
          <w:t xml:space="preserve">Page </w:t>
        </w:r>
        <w:r w:rsidRPr="00BE1193">
          <w:rPr>
            <w:bCs/>
            <w:sz w:val="22"/>
            <w:szCs w:val="22"/>
          </w:rPr>
          <w:fldChar w:fldCharType="begin"/>
        </w:r>
        <w:r w:rsidRPr="00BE1193">
          <w:rPr>
            <w:bCs/>
            <w:sz w:val="22"/>
            <w:szCs w:val="22"/>
          </w:rPr>
          <w:instrText xml:space="preserve"> PAGE </w:instrText>
        </w:r>
        <w:r w:rsidRPr="00BE1193">
          <w:rPr>
            <w:bCs/>
            <w:sz w:val="22"/>
            <w:szCs w:val="22"/>
          </w:rPr>
          <w:fldChar w:fldCharType="separate"/>
        </w:r>
        <w:r w:rsidR="000C02EB">
          <w:rPr>
            <w:bCs/>
            <w:noProof/>
            <w:sz w:val="22"/>
            <w:szCs w:val="22"/>
          </w:rPr>
          <w:t>1</w:t>
        </w:r>
        <w:r w:rsidRPr="00BE1193">
          <w:rPr>
            <w:bCs/>
            <w:sz w:val="22"/>
            <w:szCs w:val="22"/>
          </w:rPr>
          <w:fldChar w:fldCharType="end"/>
        </w:r>
        <w:r w:rsidRPr="00BE1193">
          <w:rPr>
            <w:sz w:val="22"/>
            <w:szCs w:val="22"/>
          </w:rPr>
          <w:t xml:space="preserve"> of </w:t>
        </w:r>
        <w:r w:rsidRPr="00BE1193">
          <w:rPr>
            <w:bCs/>
            <w:sz w:val="22"/>
            <w:szCs w:val="22"/>
          </w:rPr>
          <w:fldChar w:fldCharType="begin"/>
        </w:r>
        <w:r w:rsidRPr="00BE1193">
          <w:rPr>
            <w:bCs/>
            <w:sz w:val="22"/>
            <w:szCs w:val="22"/>
          </w:rPr>
          <w:instrText xml:space="preserve"> NUMPAGES  </w:instrText>
        </w:r>
        <w:r w:rsidRPr="00BE1193">
          <w:rPr>
            <w:bCs/>
            <w:sz w:val="22"/>
            <w:szCs w:val="22"/>
          </w:rPr>
          <w:fldChar w:fldCharType="separate"/>
        </w:r>
        <w:r w:rsidR="000C02EB">
          <w:rPr>
            <w:bCs/>
            <w:noProof/>
            <w:sz w:val="22"/>
            <w:szCs w:val="22"/>
          </w:rPr>
          <w:t>2</w:t>
        </w:r>
        <w:r w:rsidRPr="00BE1193">
          <w:rPr>
            <w:bCs/>
            <w:sz w:val="22"/>
            <w:szCs w:val="22"/>
          </w:rPr>
          <w:fldChar w:fldCharType="end"/>
        </w:r>
      </w:sdtContent>
    </w:sdt>
  </w:p>
  <w:p w:rsidR="00BE1193" w:rsidRPr="00BE1193" w:rsidRDefault="00BE1193" w:rsidP="00BE1193">
    <w:pPr>
      <w:pStyle w:val="Footer"/>
      <w:tabs>
        <w:tab w:val="clear" w:pos="8640"/>
        <w:tab w:val="right" w:pos="9360"/>
      </w:tabs>
      <w:rPr>
        <w:sz w:val="22"/>
        <w:szCs w:val="22"/>
      </w:rPr>
    </w:pPr>
  </w:p>
  <w:p w:rsidR="00BE1193" w:rsidRPr="00BE1193" w:rsidRDefault="00BE1193">
    <w:pPr>
      <w:pStyle w:val="Footer"/>
      <w:rPr>
        <w:sz w:val="22"/>
        <w:szCs w:val="22"/>
      </w:rPr>
    </w:pPr>
  </w:p>
  <w:p w:rsidR="00FB424E" w:rsidRPr="00BE1193" w:rsidRDefault="00FB424E" w:rsidP="00BE11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A" w:rsidRDefault="00CB4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03" w:rsidRDefault="00683403">
      <w:r>
        <w:separator/>
      </w:r>
    </w:p>
  </w:footnote>
  <w:footnote w:type="continuationSeparator" w:id="0">
    <w:p w:rsidR="00683403" w:rsidRDefault="0068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A" w:rsidRDefault="00CB4C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A" w:rsidRDefault="00CB4C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A" w:rsidRDefault="00CB4C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5"/>
    <w:multiLevelType w:val="multilevel"/>
    <w:tmpl w:val="00000000"/>
    <w:name w:val="AutoList1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7"/>
    <w:multiLevelType w:val="multilevel"/>
    <w:tmpl w:val="00000000"/>
    <w:name w:val="AutoList15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0000008"/>
    <w:multiLevelType w:val="multilevel"/>
    <w:tmpl w:val="00000000"/>
    <w:name w:val="AutoList16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4">
    <w:nsid w:val="00000009"/>
    <w:multiLevelType w:val="multilevel"/>
    <w:tmpl w:val="00000000"/>
    <w:name w:val="AutoList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>
    <w:nsid w:val="0000000A"/>
    <w:multiLevelType w:val="multilevel"/>
    <w:tmpl w:val="00000000"/>
    <w:name w:val="AutoList18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11"/>
      <w:lvl w:ilvl="0">
        <w:start w:val="11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">
    <w:abstractNumId w:val="2"/>
    <w:lvlOverride w:ilvl="0">
      <w:startOverride w:val="6"/>
      <w:lvl w:ilvl="0">
        <w:start w:val="6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4">
    <w:abstractNumId w:val="3"/>
    <w:lvlOverride w:ilvl="0">
      <w:startOverride w:val="7"/>
      <w:lvl w:ilvl="0">
        <w:start w:val="7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5">
    <w:abstractNumId w:val="4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>
    <w:abstractNumId w:val="5"/>
    <w:lvlOverride w:ilvl="0">
      <w:startOverride w:val="7"/>
      <w:lvl w:ilvl="0">
        <w:start w:val="7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k, Jim (ANC)">
    <w15:presenceInfo w15:providerId="AD" w15:userId="S::JLeik@perkinscoie.com::55e93035-3fad-400e-8d2f-588d0d0394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2B"/>
    <w:rsid w:val="00026D75"/>
    <w:rsid w:val="00037DD3"/>
    <w:rsid w:val="00045738"/>
    <w:rsid w:val="0005512B"/>
    <w:rsid w:val="00085D9B"/>
    <w:rsid w:val="000C02EB"/>
    <w:rsid w:val="000F79F5"/>
    <w:rsid w:val="00163744"/>
    <w:rsid w:val="001B0633"/>
    <w:rsid w:val="001B572F"/>
    <w:rsid w:val="001D3FDF"/>
    <w:rsid w:val="002033A0"/>
    <w:rsid w:val="00227886"/>
    <w:rsid w:val="002326E8"/>
    <w:rsid w:val="00236F61"/>
    <w:rsid w:val="00236FF2"/>
    <w:rsid w:val="00244AFF"/>
    <w:rsid w:val="002B410E"/>
    <w:rsid w:val="00341306"/>
    <w:rsid w:val="00351B58"/>
    <w:rsid w:val="00372769"/>
    <w:rsid w:val="003A214C"/>
    <w:rsid w:val="003E035D"/>
    <w:rsid w:val="004260B2"/>
    <w:rsid w:val="004312AF"/>
    <w:rsid w:val="00456231"/>
    <w:rsid w:val="004641E2"/>
    <w:rsid w:val="00466889"/>
    <w:rsid w:val="0048794E"/>
    <w:rsid w:val="0049009F"/>
    <w:rsid w:val="004A5548"/>
    <w:rsid w:val="00500D7B"/>
    <w:rsid w:val="005079D2"/>
    <w:rsid w:val="005376FC"/>
    <w:rsid w:val="00540CF7"/>
    <w:rsid w:val="005463E6"/>
    <w:rsid w:val="00551367"/>
    <w:rsid w:val="00581138"/>
    <w:rsid w:val="0058752A"/>
    <w:rsid w:val="00590069"/>
    <w:rsid w:val="005D63DE"/>
    <w:rsid w:val="005F46A8"/>
    <w:rsid w:val="006050D9"/>
    <w:rsid w:val="00607FC0"/>
    <w:rsid w:val="006129BD"/>
    <w:rsid w:val="00683403"/>
    <w:rsid w:val="006975EF"/>
    <w:rsid w:val="006A60C5"/>
    <w:rsid w:val="006C71CB"/>
    <w:rsid w:val="006E08CD"/>
    <w:rsid w:val="00714F7D"/>
    <w:rsid w:val="0072029E"/>
    <w:rsid w:val="007310CB"/>
    <w:rsid w:val="00751FE1"/>
    <w:rsid w:val="00764C8F"/>
    <w:rsid w:val="00772E4F"/>
    <w:rsid w:val="007C1585"/>
    <w:rsid w:val="007C1642"/>
    <w:rsid w:val="007F186B"/>
    <w:rsid w:val="007F4229"/>
    <w:rsid w:val="00846EAF"/>
    <w:rsid w:val="00852A1E"/>
    <w:rsid w:val="00877B0C"/>
    <w:rsid w:val="00900620"/>
    <w:rsid w:val="009147F8"/>
    <w:rsid w:val="0096286B"/>
    <w:rsid w:val="00971857"/>
    <w:rsid w:val="009B7FD3"/>
    <w:rsid w:val="009C5A2F"/>
    <w:rsid w:val="00A47EC0"/>
    <w:rsid w:val="00A703A7"/>
    <w:rsid w:val="00A76B50"/>
    <w:rsid w:val="00A85DD1"/>
    <w:rsid w:val="00AD69AD"/>
    <w:rsid w:val="00AE54F2"/>
    <w:rsid w:val="00B42C89"/>
    <w:rsid w:val="00B92BAF"/>
    <w:rsid w:val="00B96365"/>
    <w:rsid w:val="00BE1193"/>
    <w:rsid w:val="00C20FED"/>
    <w:rsid w:val="00C22B7D"/>
    <w:rsid w:val="00C56EE3"/>
    <w:rsid w:val="00CB4C5A"/>
    <w:rsid w:val="00CD7A38"/>
    <w:rsid w:val="00CE3FF6"/>
    <w:rsid w:val="00D102AC"/>
    <w:rsid w:val="00D15725"/>
    <w:rsid w:val="00D15CA5"/>
    <w:rsid w:val="00D244FB"/>
    <w:rsid w:val="00DA3A7B"/>
    <w:rsid w:val="00DB37F0"/>
    <w:rsid w:val="00DB5A76"/>
    <w:rsid w:val="00DC2BCB"/>
    <w:rsid w:val="00DF322D"/>
    <w:rsid w:val="00E0113C"/>
    <w:rsid w:val="00E07E76"/>
    <w:rsid w:val="00E30C7F"/>
    <w:rsid w:val="00E44031"/>
    <w:rsid w:val="00E814A4"/>
    <w:rsid w:val="00E94B7C"/>
    <w:rsid w:val="00E97698"/>
    <w:rsid w:val="00ED0629"/>
    <w:rsid w:val="00EF0DB4"/>
    <w:rsid w:val="00F65F91"/>
    <w:rsid w:val="00F70C11"/>
    <w:rsid w:val="00FA4372"/>
    <w:rsid w:val="00FB424E"/>
    <w:rsid w:val="00FC403C"/>
    <w:rsid w:val="00FE2E2C"/>
    <w:rsid w:val="00FE72D8"/>
    <w:rsid w:val="00FF365A"/>
    <w:rsid w:val="00FF530D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/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enter">
    <w:name w:val="center"/>
    <w:basedOn w:val="Normal"/>
    <w:pPr>
      <w:keepLines/>
      <w:widowControl/>
      <w:spacing w:before="240" w:line="240" w:lineRule="atLeast"/>
      <w:jc w:val="center"/>
    </w:pPr>
    <w:rPr>
      <w:snapToGrid/>
      <w:sz w:val="26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vel1">
    <w:name w:val="Level 1"/>
    <w:basedOn w:val="Normal"/>
    <w:pPr>
      <w:tabs>
        <w:tab w:val="num" w:pos="360"/>
      </w:tabs>
      <w:autoSpaceDE w:val="0"/>
      <w:autoSpaceDN w:val="0"/>
      <w:adjustRightInd w:val="0"/>
      <w:ind w:left="1440" w:hanging="720"/>
      <w:outlineLvl w:val="0"/>
    </w:pPr>
    <w:rPr>
      <w:snapToGrid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napToGrid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</w:pPr>
    <w:rPr>
      <w:rFonts w:ascii="Courier New" w:hAnsi="Courier New"/>
      <w:b/>
      <w:snapToGrid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720"/>
    </w:pPr>
    <w:rPr>
      <w:snapToGrid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720"/>
    </w:pPr>
    <w:rPr>
      <w:snapToGrid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snapToGrid/>
    </w:rPr>
  </w:style>
  <w:style w:type="paragraph" w:styleId="Footer">
    <w:name w:val="footer"/>
    <w:basedOn w:val="Normal"/>
    <w:link w:val="FooterChar"/>
    <w:uiPriority w:val="99"/>
    <w:rsid w:val="001D3F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FDF"/>
  </w:style>
  <w:style w:type="paragraph" w:styleId="BalloonText">
    <w:name w:val="Balloon Text"/>
    <w:basedOn w:val="Normal"/>
    <w:link w:val="BalloonTextChar"/>
    <w:uiPriority w:val="99"/>
    <w:semiHidden/>
    <w:unhideWhenUsed/>
    <w:rsid w:val="00E8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A4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E1193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/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enter">
    <w:name w:val="center"/>
    <w:basedOn w:val="Normal"/>
    <w:pPr>
      <w:keepLines/>
      <w:widowControl/>
      <w:spacing w:before="240" w:line="240" w:lineRule="atLeast"/>
      <w:jc w:val="center"/>
    </w:pPr>
    <w:rPr>
      <w:snapToGrid/>
      <w:sz w:val="26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vel1">
    <w:name w:val="Level 1"/>
    <w:basedOn w:val="Normal"/>
    <w:pPr>
      <w:tabs>
        <w:tab w:val="num" w:pos="360"/>
      </w:tabs>
      <w:autoSpaceDE w:val="0"/>
      <w:autoSpaceDN w:val="0"/>
      <w:adjustRightInd w:val="0"/>
      <w:ind w:left="1440" w:hanging="720"/>
      <w:outlineLvl w:val="0"/>
    </w:pPr>
    <w:rPr>
      <w:snapToGrid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napToGrid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</w:pPr>
    <w:rPr>
      <w:rFonts w:ascii="Courier New" w:hAnsi="Courier New"/>
      <w:b/>
      <w:snapToGrid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720"/>
    </w:pPr>
    <w:rPr>
      <w:snapToGrid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720"/>
    </w:pPr>
    <w:rPr>
      <w:snapToGrid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b/>
      <w:snapToGrid/>
    </w:rPr>
  </w:style>
  <w:style w:type="paragraph" w:styleId="Footer">
    <w:name w:val="footer"/>
    <w:basedOn w:val="Normal"/>
    <w:link w:val="FooterChar"/>
    <w:uiPriority w:val="99"/>
    <w:rsid w:val="001D3F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FDF"/>
  </w:style>
  <w:style w:type="paragraph" w:styleId="BalloonText">
    <w:name w:val="Balloon Text"/>
    <w:basedOn w:val="Normal"/>
    <w:link w:val="BalloonTextChar"/>
    <w:uiPriority w:val="99"/>
    <w:semiHidden/>
    <w:unhideWhenUsed/>
    <w:rsid w:val="00E81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A4"/>
    <w:rPr>
      <w:rFonts w:ascii="Tahoma" w:hAnsi="Tahoma" w:cs="Tahoma"/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E119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DC0C-865A-4567-A1EB-F5347D7B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2467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2933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Kodidine</dc:creator>
  <cp:lastModifiedBy>Sanjay Kodidine</cp:lastModifiedBy>
  <cp:revision>2</cp:revision>
  <dcterms:created xsi:type="dcterms:W3CDTF">2020-05-27T21:20:00Z</dcterms:created>
  <dcterms:modified xsi:type="dcterms:W3CDTF">2020-05-27T21:20:00Z</dcterms:modified>
</cp:coreProperties>
</file>