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65EB">
      <w:pPr>
        <w:pStyle w:val="Header"/>
        <w:tabs>
          <w:tab w:val="left" w:pos="1440"/>
        </w:tabs>
        <w:ind w:left="1440" w:hanging="1440"/>
        <w:jc w:val="both"/>
        <w:rPr>
          <w:rFonts w:ascii="Bookman Old Style" w:hAnsi="Bookman Old Style"/>
          <w:b/>
          <w:sz w:val="26"/>
        </w:rPr>
      </w:pPr>
      <w:bookmarkStart w:id="0" w:name="_GoBack"/>
      <w:bookmarkEnd w:id="0"/>
      <w:r>
        <w:rPr>
          <w:rFonts w:ascii="Bookman Old Style" w:hAnsi="Bookman Old Style"/>
          <w:b/>
          <w:sz w:val="26"/>
        </w:rPr>
        <w:t>1A.13</w:t>
      </w:r>
      <w:r>
        <w:rPr>
          <w:rFonts w:ascii="Bookman Old Style" w:hAnsi="Bookman Old Style"/>
          <w:b/>
          <w:sz w:val="26"/>
        </w:rPr>
        <w:tab/>
        <w:t>LIMITING INSTRUCTION – EXERCISE OF PRIVILEGE AGAINST SELF-INCRIMINATION</w:t>
      </w:r>
    </w:p>
    <w:p w:rsidR="00000000" w:rsidRDefault="006965EB">
      <w:pPr>
        <w:suppressAutoHyphens/>
        <w:spacing w:line="360" w:lineRule="auto"/>
        <w:jc w:val="both"/>
        <w:rPr>
          <w:rFonts w:ascii="Bookman Old Style" w:hAnsi="Bookman Old Style"/>
          <w:spacing w:val="-3"/>
          <w:sz w:val="26"/>
        </w:rPr>
      </w:pPr>
    </w:p>
    <w:p w:rsidR="00000000" w:rsidRDefault="006965EB">
      <w:pPr>
        <w:suppressAutoHyphens/>
        <w:spacing w:line="360" w:lineRule="auto"/>
        <w:jc w:val="both"/>
        <w:rPr>
          <w:rFonts w:ascii="Bookman Old Style" w:hAnsi="Bookman Old Style"/>
          <w:spacing w:val="-3"/>
          <w:sz w:val="26"/>
        </w:rPr>
      </w:pPr>
    </w:p>
    <w:p w:rsidR="00000000" w:rsidRDefault="006965EB">
      <w:pPr>
        <w:suppressAutoHyphens/>
        <w:spacing w:line="360" w:lineRule="auto"/>
        <w:ind w:firstLine="720"/>
        <w:jc w:val="both"/>
        <w:rPr>
          <w:rFonts w:ascii="Bookman Old Style" w:hAnsi="Bookman Old Style"/>
          <w:spacing w:val="-3"/>
          <w:sz w:val="26"/>
        </w:rPr>
      </w:pPr>
      <w:r>
        <w:rPr>
          <w:rFonts w:ascii="Bookman Old Style" w:hAnsi="Bookman Old Style"/>
          <w:spacing w:val="-3"/>
          <w:sz w:val="26"/>
        </w:rPr>
        <w:t>A person has the right not to answer any questions that might possibly be used against (them</w:t>
      </w:r>
      <w:r>
        <w:rPr>
          <w:rFonts w:ascii="Bookman Old Style" w:hAnsi="Bookman Old Style"/>
          <w:spacing w:val="-3"/>
          <w:sz w:val="26"/>
          <w:u w:val="single"/>
        </w:rPr>
        <w:t>)</w:t>
      </w:r>
      <w:r>
        <w:rPr>
          <w:rFonts w:ascii="Bookman Old Style" w:hAnsi="Bookman Old Style"/>
          <w:spacing w:val="-3"/>
          <w:sz w:val="26"/>
        </w:rPr>
        <w:t xml:space="preserve"> in a future criminal case. A refusal to answer does not signify either that there </w:t>
      </w:r>
      <w:r>
        <w:rPr>
          <w:rFonts w:ascii="Bookman Old Style" w:hAnsi="Bookman Old Style"/>
          <w:spacing w:val="-3"/>
          <w:sz w:val="26"/>
        </w:rPr>
        <w:t>actually will be a future criminal case or that the person is guilty.  It means only that the person does not want to say anything that might possibly be used against them</w:t>
      </w:r>
      <w:r>
        <w:rPr>
          <w:rFonts w:ascii="Bookman Old Style" w:hAnsi="Bookman Old Style"/>
          <w:b/>
          <w:spacing w:val="-3"/>
          <w:sz w:val="26"/>
        </w:rPr>
        <w:t xml:space="preserve"> </w:t>
      </w:r>
      <w:r>
        <w:rPr>
          <w:rFonts w:ascii="Bookman Old Style" w:hAnsi="Bookman Old Style"/>
          <w:spacing w:val="-3"/>
          <w:sz w:val="26"/>
        </w:rPr>
        <w:t>later.  By not answering questions the (plaintiff or defendant) leaves the (defendan</w:t>
      </w:r>
      <w:r>
        <w:rPr>
          <w:rFonts w:ascii="Bookman Old Style" w:hAnsi="Bookman Old Style"/>
          <w:spacing w:val="-3"/>
          <w:sz w:val="26"/>
        </w:rPr>
        <w:t>t or plaintiff) without the answers that (he)(she) seeks.  In evaluating the plaintiff's or the defendant's testimony, you are entitled to consider that the (plaintiff or defendant) did not answer questions because of the possibility that the answers would</w:t>
      </w:r>
      <w:r>
        <w:rPr>
          <w:rFonts w:ascii="Bookman Old Style" w:hAnsi="Bookman Old Style"/>
          <w:spacing w:val="-3"/>
          <w:sz w:val="26"/>
        </w:rPr>
        <w:t xml:space="preserve"> be used in a subsequent criminal case, even though you do not know what the answers would have been.</w:t>
      </w:r>
    </w:p>
    <w:p w:rsidR="00000000" w:rsidRDefault="006965EB">
      <w:pPr>
        <w:suppressAutoHyphens/>
        <w:spacing w:line="360" w:lineRule="auto"/>
        <w:ind w:firstLine="720"/>
        <w:jc w:val="both"/>
        <w:rPr>
          <w:rFonts w:ascii="Bookman Old Style" w:hAnsi="Bookman Old Style"/>
          <w:spacing w:val="-3"/>
          <w:sz w:val="26"/>
        </w:rPr>
      </w:pPr>
    </w:p>
    <w:p w:rsidR="00000000" w:rsidRDefault="006965EB">
      <w:pPr>
        <w:suppressAutoHyphens/>
        <w:spacing w:line="360" w:lineRule="auto"/>
        <w:ind w:firstLine="720"/>
        <w:jc w:val="both"/>
        <w:rPr>
          <w:rFonts w:ascii="Bookman Old Style" w:hAnsi="Bookman Old Style"/>
          <w:spacing w:val="-3"/>
          <w:sz w:val="26"/>
        </w:rPr>
      </w:pPr>
    </w:p>
    <w:p w:rsidR="00000000" w:rsidRDefault="006965EB">
      <w:pPr>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Use Note</w:t>
      </w:r>
    </w:p>
    <w:p w:rsidR="00000000" w:rsidRDefault="006965EB">
      <w:pPr>
        <w:tabs>
          <w:tab w:val="left" w:pos="-720"/>
        </w:tabs>
        <w:suppressAutoHyphens/>
        <w:jc w:val="both"/>
        <w:rPr>
          <w:rFonts w:ascii="Bookman Old Style" w:hAnsi="Bookman Old Style"/>
          <w:spacing w:val="-3"/>
          <w:sz w:val="26"/>
        </w:rPr>
      </w:pPr>
    </w:p>
    <w:p w:rsidR="00000000" w:rsidRDefault="006965EB">
      <w:pPr>
        <w:tabs>
          <w:tab w:val="left" w:pos="-720"/>
        </w:tabs>
        <w:suppressAutoHyphens/>
        <w:jc w:val="both"/>
        <w:rPr>
          <w:rFonts w:ascii="Bookman Old Style" w:hAnsi="Bookman Old Style"/>
          <w:spacing w:val="-3"/>
          <w:sz w:val="26"/>
        </w:rPr>
      </w:pPr>
      <w:r>
        <w:rPr>
          <w:rFonts w:ascii="Bookman Old Style" w:hAnsi="Bookman Old Style"/>
          <w:spacing w:val="-3"/>
          <w:sz w:val="26"/>
        </w:rPr>
        <w:tab/>
        <w:t xml:space="preserve">Alaska R. Evid. 512(d) provides that the rule against drawing an adverse inference against a party because a privilege is involved does not </w:t>
      </w:r>
      <w:r>
        <w:rPr>
          <w:rFonts w:ascii="Bookman Old Style" w:hAnsi="Bookman Old Style"/>
          <w:spacing w:val="-3"/>
          <w:sz w:val="26"/>
        </w:rPr>
        <w:t xml:space="preserve">apply in civil cases when the privilege against self-incrimination is invoked.  This instruction covers cases in which the privilege is invoked by a party.  The Comment, </w:t>
      </w:r>
      <w:r>
        <w:rPr>
          <w:rFonts w:ascii="Bookman Old Style" w:hAnsi="Bookman Old Style"/>
          <w:spacing w:val="-3"/>
          <w:sz w:val="26"/>
          <w:u w:val="single"/>
        </w:rPr>
        <w:t>infra</w:t>
      </w:r>
      <w:r>
        <w:rPr>
          <w:rFonts w:ascii="Bookman Old Style" w:hAnsi="Bookman Old Style"/>
          <w:spacing w:val="-3"/>
          <w:sz w:val="26"/>
        </w:rPr>
        <w:t>, indicates how the court should handle the non-party witness who invokes the pri</w:t>
      </w:r>
      <w:r>
        <w:rPr>
          <w:rFonts w:ascii="Bookman Old Style" w:hAnsi="Bookman Old Style"/>
          <w:spacing w:val="-3"/>
          <w:sz w:val="26"/>
        </w:rPr>
        <w:t>vilege.</w:t>
      </w:r>
    </w:p>
    <w:p w:rsidR="00000000" w:rsidRDefault="006965EB">
      <w:pPr>
        <w:tabs>
          <w:tab w:val="left" w:pos="-720"/>
        </w:tabs>
        <w:suppressAutoHyphens/>
        <w:jc w:val="both"/>
        <w:rPr>
          <w:rFonts w:ascii="Bookman Old Style" w:hAnsi="Bookman Old Style"/>
          <w:spacing w:val="-3"/>
          <w:sz w:val="26"/>
        </w:rPr>
      </w:pPr>
    </w:p>
    <w:p w:rsidR="00000000" w:rsidRDefault="006965EB">
      <w:pPr>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Comment</w:t>
      </w:r>
    </w:p>
    <w:p w:rsidR="00000000" w:rsidRDefault="006965EB">
      <w:pPr>
        <w:tabs>
          <w:tab w:val="left" w:pos="-720"/>
        </w:tabs>
        <w:suppressAutoHyphens/>
        <w:jc w:val="both"/>
        <w:rPr>
          <w:rFonts w:ascii="Bookman Old Style" w:hAnsi="Bookman Old Style"/>
          <w:spacing w:val="-3"/>
          <w:sz w:val="26"/>
        </w:rPr>
      </w:pPr>
    </w:p>
    <w:p w:rsidR="00000000" w:rsidRDefault="006965EB">
      <w:pPr>
        <w:tabs>
          <w:tab w:val="left" w:pos="-720"/>
        </w:tabs>
        <w:suppressAutoHyphens/>
        <w:jc w:val="both"/>
        <w:rPr>
          <w:rFonts w:ascii="Bookman Old Style" w:hAnsi="Bookman Old Style"/>
          <w:spacing w:val="-3"/>
          <w:sz w:val="26"/>
        </w:rPr>
      </w:pPr>
      <w:r>
        <w:rPr>
          <w:rFonts w:ascii="Bookman Old Style" w:hAnsi="Bookman Old Style"/>
          <w:spacing w:val="-3"/>
          <w:sz w:val="26"/>
        </w:rPr>
        <w:tab/>
        <w:t>The Comment to Alaska R. Evid. 512(d) indicates that if a civil case is continued until a criminal case is disposed of, thus removing the possibility of future incrimination that might close the mouth of a party witness, there may be no</w:t>
      </w:r>
      <w:r>
        <w:rPr>
          <w:rFonts w:ascii="Bookman Old Style" w:hAnsi="Bookman Old Style"/>
          <w:spacing w:val="-3"/>
          <w:sz w:val="26"/>
        </w:rPr>
        <w:t xml:space="preserve"> need for this instruction.  In some cases, however, especially those involving only private parties, the government may not cooperate in speeding up the filing and prosecution of a criminal </w:t>
      </w:r>
      <w:r>
        <w:rPr>
          <w:rFonts w:ascii="Bookman Old Style" w:hAnsi="Bookman Old Style"/>
          <w:spacing w:val="-3"/>
          <w:sz w:val="26"/>
        </w:rPr>
        <w:lastRenderedPageBreak/>
        <w:t>case.  This means that a party may have reason to invoke the priv</w:t>
      </w:r>
      <w:r>
        <w:rPr>
          <w:rFonts w:ascii="Bookman Old Style" w:hAnsi="Bookman Old Style"/>
          <w:spacing w:val="-3"/>
          <w:sz w:val="26"/>
        </w:rPr>
        <w:t xml:space="preserve">ilege against self-incrimination while testifying.  The law is clear that a party may do so even in a civil case, as long as there is a reasonable possibility that the answers to questions could be incriminating.  </w:t>
      </w:r>
      <w:r>
        <w:rPr>
          <w:rFonts w:ascii="Bookman Old Style" w:hAnsi="Bookman Old Style"/>
          <w:spacing w:val="-3"/>
          <w:sz w:val="26"/>
          <w:u w:val="single"/>
        </w:rPr>
        <w:t>See</w:t>
      </w:r>
      <w:r>
        <w:rPr>
          <w:rFonts w:ascii="Bookman Old Style" w:hAnsi="Bookman Old Style"/>
          <w:spacing w:val="-3"/>
          <w:sz w:val="26"/>
        </w:rPr>
        <w:t xml:space="preserve">, </w:t>
      </w:r>
      <w:r>
        <w:rPr>
          <w:rFonts w:ascii="Bookman Old Style" w:hAnsi="Bookman Old Style"/>
          <w:spacing w:val="-3"/>
          <w:sz w:val="26"/>
          <w:u w:val="single"/>
        </w:rPr>
        <w:t>McCarthy v. Arndstein</w:t>
      </w:r>
      <w:r>
        <w:rPr>
          <w:rFonts w:ascii="Bookman Old Style" w:hAnsi="Bookman Old Style"/>
          <w:spacing w:val="-3"/>
          <w:sz w:val="26"/>
        </w:rPr>
        <w:t>, 266 U.S. 34 (1</w:t>
      </w:r>
      <w:r>
        <w:rPr>
          <w:rFonts w:ascii="Bookman Old Style" w:hAnsi="Bookman Old Style"/>
          <w:spacing w:val="-3"/>
          <w:sz w:val="26"/>
        </w:rPr>
        <w:t>924).  When a party does invoke the privilege in a civil case in an effort to protect against future criminal liability, an opposing civil litigant is denied evidence.  This instruction explains the approach of Alaska R. Evid. 512(d), which provides that a</w:t>
      </w:r>
      <w:r>
        <w:rPr>
          <w:rFonts w:ascii="Bookman Old Style" w:hAnsi="Bookman Old Style"/>
          <w:spacing w:val="-3"/>
          <w:sz w:val="26"/>
        </w:rPr>
        <w:t>n adverse inference can be drawn against a party who refuses to answer.  But the instruction suggests that the invocation of the privilege is not necessarily synonymous with an admission of guilt.</w:t>
      </w:r>
    </w:p>
    <w:p w:rsidR="00000000" w:rsidRDefault="006965EB">
      <w:pPr>
        <w:tabs>
          <w:tab w:val="left" w:pos="-720"/>
        </w:tabs>
        <w:suppressAutoHyphens/>
        <w:jc w:val="both"/>
        <w:rPr>
          <w:rFonts w:ascii="Bookman Old Style" w:hAnsi="Bookman Old Style"/>
          <w:spacing w:val="-3"/>
          <w:sz w:val="26"/>
        </w:rPr>
      </w:pPr>
    </w:p>
    <w:p w:rsidR="00000000" w:rsidRDefault="006965EB">
      <w:pPr>
        <w:tabs>
          <w:tab w:val="left" w:pos="-720"/>
        </w:tabs>
        <w:suppressAutoHyphens/>
        <w:jc w:val="both"/>
        <w:rPr>
          <w:rFonts w:ascii="Bookman Old Style" w:hAnsi="Bookman Old Style"/>
          <w:spacing w:val="-3"/>
          <w:sz w:val="26"/>
        </w:rPr>
      </w:pPr>
      <w:r>
        <w:rPr>
          <w:rFonts w:ascii="Bookman Old Style" w:hAnsi="Bookman Old Style"/>
          <w:spacing w:val="-3"/>
          <w:sz w:val="26"/>
        </w:rPr>
        <w:tab/>
        <w:t>This instruction does not cover the non-party witness, si</w:t>
      </w:r>
      <w:r>
        <w:rPr>
          <w:rFonts w:ascii="Bookman Old Style" w:hAnsi="Bookman Old Style"/>
          <w:spacing w:val="-3"/>
          <w:sz w:val="26"/>
        </w:rPr>
        <w:t>nce it is assumed that rarely will there be a case in which a nonparty witness testifies in part and invokes the privilege against self-incrimination in part.  Usually, when a party calls a witness, the party has some idea of what the witness will say.  If</w:t>
      </w:r>
      <w:r>
        <w:rPr>
          <w:rFonts w:ascii="Bookman Old Style" w:hAnsi="Bookman Old Style"/>
          <w:spacing w:val="-3"/>
          <w:sz w:val="26"/>
        </w:rPr>
        <w:t xml:space="preserve"> the party calling the witness knows that the witness will refuse to answer questions, the party should indicate this to the court out of the hearing of the jury.  If an adverse party knows that a witness identified with it will invoke the privilege, it sh</w:t>
      </w:r>
      <w:r>
        <w:rPr>
          <w:rFonts w:ascii="Bookman Old Style" w:hAnsi="Bookman Old Style"/>
          <w:spacing w:val="-3"/>
          <w:sz w:val="26"/>
        </w:rPr>
        <w:t>ould let the court know before the witness takes the stand.  If the court is not told or the parties do not know that the witness will invoke the privilege, usually the witness will do so immediately upon being asked questions about important aspects of th</w:t>
      </w:r>
      <w:r>
        <w:rPr>
          <w:rFonts w:ascii="Bookman Old Style" w:hAnsi="Bookman Old Style"/>
          <w:spacing w:val="-3"/>
          <w:sz w:val="26"/>
        </w:rPr>
        <w:t>e case.  If the witness invokes the privilege before saying anything that is important, the jury can be told to disregard the witness.  If, however, the witness does address important questions, there is every likelihood that the court will find a waiver o</w:t>
      </w:r>
      <w:r>
        <w:rPr>
          <w:rFonts w:ascii="Bookman Old Style" w:hAnsi="Bookman Old Style"/>
          <w:spacing w:val="-3"/>
          <w:sz w:val="26"/>
        </w:rPr>
        <w:t xml:space="preserve">f additional questions on the same subject.  </w:t>
      </w:r>
      <w:r>
        <w:rPr>
          <w:rFonts w:ascii="Bookman Old Style" w:hAnsi="Bookman Old Style"/>
          <w:spacing w:val="-3"/>
          <w:sz w:val="26"/>
          <w:u w:val="single"/>
        </w:rPr>
        <w:t>See</w:t>
      </w:r>
      <w:r>
        <w:rPr>
          <w:rFonts w:ascii="Bookman Old Style" w:hAnsi="Bookman Old Style"/>
          <w:spacing w:val="-3"/>
          <w:sz w:val="26"/>
        </w:rPr>
        <w:t xml:space="preserve">, </w:t>
      </w:r>
      <w:r>
        <w:rPr>
          <w:rFonts w:ascii="Bookman Old Style" w:hAnsi="Bookman Old Style"/>
          <w:spacing w:val="-3"/>
          <w:sz w:val="26"/>
          <w:u w:val="single"/>
        </w:rPr>
        <w:t>e.g.,</w:t>
      </w:r>
      <w:r>
        <w:rPr>
          <w:rFonts w:ascii="Bookman Old Style" w:hAnsi="Bookman Old Style"/>
          <w:spacing w:val="-3"/>
          <w:sz w:val="26"/>
        </w:rPr>
        <w:t xml:space="preserve"> Rogers</w:t>
      </w:r>
      <w:r>
        <w:rPr>
          <w:rFonts w:ascii="Bookman Old Style" w:hAnsi="Bookman Old Style"/>
          <w:spacing w:val="-3"/>
          <w:sz w:val="26"/>
          <w:u w:val="single"/>
        </w:rPr>
        <w:t xml:space="preserve"> v. United States</w:t>
      </w:r>
      <w:r>
        <w:rPr>
          <w:rFonts w:ascii="Bookman Old Style" w:hAnsi="Bookman Old Style"/>
          <w:spacing w:val="-3"/>
          <w:sz w:val="26"/>
        </w:rPr>
        <w:t xml:space="preserve">, 340 U.S. 367 (1951); </w:t>
      </w:r>
      <w:r>
        <w:rPr>
          <w:rFonts w:ascii="Bookman Old Style" w:hAnsi="Bookman Old Style"/>
          <w:spacing w:val="-3"/>
          <w:sz w:val="26"/>
          <w:u w:val="single"/>
        </w:rPr>
        <w:t>Cf</w:t>
      </w:r>
      <w:r>
        <w:rPr>
          <w:rFonts w:ascii="Bookman Old Style" w:hAnsi="Bookman Old Style"/>
          <w:spacing w:val="-3"/>
          <w:sz w:val="26"/>
        </w:rPr>
        <w:t xml:space="preserve">.  </w:t>
      </w:r>
      <w:r>
        <w:rPr>
          <w:rFonts w:ascii="Bookman Old Style" w:hAnsi="Bookman Old Style"/>
          <w:spacing w:val="-3"/>
          <w:sz w:val="26"/>
          <w:u w:val="single"/>
        </w:rPr>
        <w:t>Jenkins v. Anderson</w:t>
      </w:r>
      <w:r>
        <w:rPr>
          <w:rFonts w:ascii="Bookman Old Style" w:hAnsi="Bookman Old Style"/>
          <w:spacing w:val="-3"/>
          <w:sz w:val="26"/>
        </w:rPr>
        <w:t xml:space="preserve">, 447 U.S. 231 (1980); </w:t>
      </w:r>
      <w:r>
        <w:rPr>
          <w:rFonts w:ascii="Bookman Old Style" w:hAnsi="Bookman Old Style"/>
          <w:spacing w:val="-3"/>
          <w:sz w:val="26"/>
          <w:u w:val="single"/>
        </w:rPr>
        <w:t>United States v. Havens</w:t>
      </w:r>
      <w:r>
        <w:rPr>
          <w:rFonts w:ascii="Bookman Old Style" w:hAnsi="Bookman Old Style"/>
          <w:spacing w:val="-3"/>
          <w:sz w:val="26"/>
        </w:rPr>
        <w:t>, 444 U.S. 962 (1980).  Thus, the court will order the witness to answer questions a</w:t>
      </w:r>
      <w:r>
        <w:rPr>
          <w:rFonts w:ascii="Bookman Old Style" w:hAnsi="Bookman Old Style"/>
          <w:spacing w:val="-3"/>
          <w:sz w:val="26"/>
        </w:rPr>
        <w:t xml:space="preserve">nd it is to be expected that the witness will do so.  In the rare case in which the witness testifies on one subject and invokes the privilege on a separate subject, the court may want to give an instruction that indicates that no party is responsible for </w:t>
      </w:r>
      <w:r>
        <w:rPr>
          <w:rFonts w:ascii="Bookman Old Style" w:hAnsi="Bookman Old Style"/>
          <w:spacing w:val="-3"/>
          <w:sz w:val="26"/>
        </w:rPr>
        <w:t>the witness' refusal to answer and, therefore, it should not be held against either side.  It is not necessary to tell the jury that it can use the invocation of the privilege in assessing credibility, since by definition the privilege is claimed on a diff</w:t>
      </w:r>
      <w:r>
        <w:rPr>
          <w:rFonts w:ascii="Bookman Old Style" w:hAnsi="Bookman Old Style"/>
          <w:spacing w:val="-3"/>
          <w:sz w:val="26"/>
        </w:rPr>
        <w:t>erent subject than the one to which the testimony was directed.</w:t>
      </w:r>
    </w:p>
    <w:p w:rsidR="00000000" w:rsidRDefault="006965EB">
      <w:pPr>
        <w:tabs>
          <w:tab w:val="left" w:pos="-720"/>
        </w:tabs>
        <w:suppressAutoHyphens/>
        <w:jc w:val="both"/>
        <w:rPr>
          <w:rFonts w:ascii="Bookman Old Style" w:hAnsi="Bookman Old Style"/>
          <w:spacing w:val="-3"/>
          <w:sz w:val="26"/>
        </w:rPr>
      </w:pPr>
    </w:p>
    <w:sectPr w:rsidR="00000000">
      <w:footerReference w:type="default" r:id="rId7"/>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65EB">
      <w:pPr>
        <w:spacing w:line="20" w:lineRule="exact"/>
        <w:rPr>
          <w:sz w:val="24"/>
        </w:rPr>
      </w:pPr>
    </w:p>
  </w:endnote>
  <w:endnote w:type="continuationSeparator" w:id="0">
    <w:p w:rsidR="00000000" w:rsidRDefault="006965EB">
      <w:r>
        <w:rPr>
          <w:sz w:val="24"/>
        </w:rPr>
        <w:t xml:space="preserve"> </w:t>
      </w:r>
    </w:p>
  </w:endnote>
  <w:endnote w:type="continuationNotice" w:id="1">
    <w:p w:rsidR="00000000" w:rsidRDefault="006965E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65EB">
    <w:pPr>
      <w:pStyle w:val="Footer"/>
      <w:tabs>
        <w:tab w:val="clear" w:pos="8640"/>
        <w:tab w:val="right" w:pos="918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1A.13 -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B83A61">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65EB">
      <w:r>
        <w:rPr>
          <w:sz w:val="24"/>
        </w:rPr>
        <w:separator/>
      </w:r>
    </w:p>
  </w:footnote>
  <w:footnote w:type="continuationSeparator" w:id="0">
    <w:p w:rsidR="00000000" w:rsidRDefault="00696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61"/>
    <w:rsid w:val="006965EB"/>
    <w:rsid w:val="00B8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Draft 1</vt:lpstr>
    </vt:vector>
  </TitlesOfParts>
  <Company>Alaska Court System</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Robert Storm</dc:creator>
  <cp:keywords/>
  <cp:lastModifiedBy>Michael Merrington</cp:lastModifiedBy>
  <cp:revision>3</cp:revision>
  <cp:lastPrinted>2000-03-23T21:52:00Z</cp:lastPrinted>
  <dcterms:created xsi:type="dcterms:W3CDTF">2017-04-04T18:46:00Z</dcterms:created>
  <dcterms:modified xsi:type="dcterms:W3CDTF">2017-04-04T18:46:00Z</dcterms:modified>
</cp:coreProperties>
</file>